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32"/>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32"/>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t xml:space="preserve">常州市政府采购项目</w:t>
      </w:r>
      <w:r>
        <w:rPr>
          <w:rFonts w:hint="eastAsia" w:ascii="仿宋" w:hAnsi="仿宋" w:eastAsia="仿宋" w:cs="仿宋"/>
          <w:b/>
          <w:bCs/>
          <w:color w:val="000000"/>
          <w:sz w:val="60"/>
          <w:szCs w:val="60"/>
          <w:highlight w:val="none"/>
        </w:rPr>
      </w:r>
      <w:r/>
    </w:p>
    <w:p>
      <w:pPr>
        <w:pStyle w:val="1032"/>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32"/>
        <w:jc w:val="center"/>
        <w:rPr>
          <w:rFonts w:hint="eastAsia" w:ascii="仿宋" w:hAnsi="仿宋" w:eastAsia="仿宋" w:cs="仿宋"/>
          <w:color w:val="000000"/>
          <w:sz w:val="44"/>
          <w:szCs w:val="44"/>
          <w:highlight w:val="none"/>
        </w:rPr>
      </w:pPr>
      <w:r>
        <w:rPr>
          <w:rFonts w:hint="eastAsia" w:ascii="仿宋" w:hAnsi="仿宋" w:eastAsia="仿宋" w:cs="仿宋"/>
          <w:b/>
          <w:bCs/>
          <w:color w:val="000000"/>
          <w:sz w:val="60"/>
          <w:szCs w:val="60"/>
          <w:highlight w:val="none"/>
        </w:rPr>
        <w:t xml:space="preserve">公开招标文件</w:t>
      </w:r>
      <w:r>
        <w:rPr>
          <w:rFonts w:hint="eastAsia" w:ascii="仿宋" w:hAnsi="仿宋" w:eastAsia="仿宋" w:cs="仿宋"/>
          <w:color w:val="000000"/>
          <w:sz w:val="44"/>
          <w:szCs w:val="44"/>
          <w:highlight w:val="none"/>
        </w:rPr>
      </w:r>
      <w:r/>
    </w:p>
    <w:p>
      <w:pPr>
        <w:pStyle w:val="1032"/>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32"/>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30"/>
          <w:szCs w:val="30"/>
          <w:highlight w:val="none"/>
        </w:rPr>
        <w:t xml:space="preserve">（全流程电子化-服务类项目，适用苏采云系统，专门面向中小企业）</w:t>
      </w:r>
      <w:r>
        <w:rPr>
          <w:rFonts w:hint="eastAsia" w:ascii="仿宋" w:hAnsi="仿宋" w:eastAsia="仿宋" w:cs="仿宋"/>
          <w:b/>
          <w:bCs/>
          <w:color w:val="000000"/>
          <w:sz w:val="60"/>
          <w:szCs w:val="60"/>
          <w:highlight w:val="none"/>
        </w:rPr>
      </w:r>
      <w:r/>
    </w:p>
    <w:p>
      <w:pPr>
        <w:pStyle w:val="1032"/>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tbl>
      <w:tblPr>
        <w:tblW w:w="903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bookmarkStart w:id="0" w:name="_Hlk138827153"/>
            <w:r>
              <w:rPr>
                <w:rFonts w:hint="eastAsia" w:ascii="仿宋" w:hAnsi="仿宋" w:eastAsia="仿宋" w:cs="仿宋"/>
                <w:bCs/>
                <w:color w:val="000000"/>
                <w:sz w:val="32"/>
                <w:szCs w:val="32"/>
                <w:highlight w:val="none"/>
              </w:rPr>
              <w:t xml:space="preserve">项 目 名 称：</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bookmarkEnd w:id="0"/>
            <w:r>
              <w:rPr>
                <w:rFonts w:hint="eastAsia" w:ascii="仿宋" w:hAnsi="仿宋" w:eastAsia="仿宋" w:cs="仿宋"/>
                <w:b/>
                <w:color w:val="000000"/>
                <w:sz w:val="32"/>
                <w:szCs w:val="32"/>
                <w:highlight w:val="none"/>
                <w:u w:val="single"/>
                <w:lang w:eastAsia="zh-CN"/>
              </w:rPr>
              <w:t xml:space="preserve">常州市钟楼区五星街道社区卫生服务中心职工食堂委托经营服务（二次）</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编 号：</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JSZC-320404-SCJX-G2026-0011</w:t>
            </w:r>
            <w:r>
              <w:rPr>
                <w:rFonts w:hint="eastAsia" w:ascii="仿宋" w:hAnsi="仿宋" w:eastAsia="仿宋" w:cs="仿宋"/>
                <w:bCs/>
                <w:color w:val="000000"/>
                <w:sz w:val="36"/>
                <w:szCs w:val="36"/>
                <w:highlight w:val="none"/>
                <w:u w:val="single"/>
                <w:lang w:eastAsia="zh-CN"/>
              </w:rPr>
            </w:r>
            <w:r/>
          </w:p>
        </w:tc>
      </w:tr>
      <w:tr>
        <w:trPr>
          <w:trHeight w:val="98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   购  人：</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常州市钟楼区五星街道社区卫生服务中心</w:t>
            </w:r>
            <w:r>
              <w:rPr>
                <w:rFonts w:hint="eastAsia" w:ascii="仿宋" w:hAnsi="仿宋" w:eastAsia="仿宋" w:cs="仿宋"/>
                <w:bCs/>
                <w:color w:val="000000"/>
                <w:sz w:val="36"/>
                <w:szCs w:val="36"/>
                <w:highlight w:val="none"/>
                <w:u w:val="single"/>
                <w:lang w:eastAsia="zh-CN"/>
              </w:rPr>
            </w:r>
            <w:r/>
          </w:p>
        </w:tc>
      </w:tr>
      <w:tr>
        <w:trPr>
          <w:trHeight w:val="995"/>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采购代理机构：</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rPr>
              <w:t xml:space="preserve">江苏城建校工程咨询有限公司</w:t>
            </w:r>
            <w:r>
              <w:rPr>
                <w:rFonts w:hint="eastAsia" w:ascii="仿宋" w:hAnsi="仿宋" w:eastAsia="仿宋" w:cs="仿宋"/>
                <w:bCs/>
                <w:color w:val="000000"/>
                <w:sz w:val="36"/>
                <w:szCs w:val="36"/>
                <w:highlight w:val="none"/>
                <w:u w:val="single"/>
              </w:rPr>
            </w:r>
            <w:r/>
          </w:p>
        </w:tc>
      </w:tr>
    </w:tbl>
    <w:p>
      <w:pPr>
        <w:pStyle w:val="1032"/>
        <w:jc w:val="center"/>
        <w:spacing w:line="36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032"/>
        <w:jc w:val="center"/>
        <w:spacing w:line="36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032"/>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二〇二六年</w:t>
      </w:r>
      <w:r>
        <w:rPr>
          <w:rFonts w:hint="eastAsia" w:ascii="仿宋" w:hAnsi="仿宋" w:eastAsia="仿宋" w:cs="仿宋"/>
          <w:b/>
          <w:color w:val="000000"/>
          <w:sz w:val="36"/>
          <w:szCs w:val="36"/>
          <w:highlight w:val="none"/>
          <w:lang w:val="en-US" w:eastAsia="zh-CN"/>
        </w:rPr>
        <w:t xml:space="preserve">六</w:t>
      </w:r>
      <w:r>
        <w:rPr>
          <w:rFonts w:hint="eastAsia" w:ascii="仿宋" w:hAnsi="仿宋" w:eastAsia="仿宋" w:cs="仿宋"/>
          <w:b/>
          <w:color w:val="000000"/>
          <w:sz w:val="36"/>
          <w:szCs w:val="36"/>
          <w:highlight w:val="none"/>
        </w:rPr>
        <w:t xml:space="preserve">月</w:t>
      </w:r>
      <w:r>
        <w:rPr>
          <w:rFonts w:hint="eastAsia" w:ascii="仿宋" w:hAnsi="仿宋" w:eastAsia="仿宋" w:cs="仿宋"/>
          <w:b/>
          <w:color w:val="000000"/>
          <w:sz w:val="36"/>
          <w:szCs w:val="36"/>
          <w:highlight w:val="none"/>
        </w:rPr>
      </w:r>
      <w:r/>
    </w:p>
    <w:p>
      <w:pPr>
        <w:pStyle w:val="1032"/>
        <w:ind w:firstLine="7228"/>
        <w:spacing w:line="360" w:lineRule="auto"/>
        <w:rPr>
          <w:rFonts w:hint="eastAsia" w:ascii="仿宋" w:hAnsi="仿宋" w:eastAsia="仿宋" w:cs="仿宋"/>
          <w:b/>
          <w:color w:val="000000"/>
          <w:sz w:val="72"/>
          <w:highlight w:val="none"/>
        </w:rPr>
        <w:sectPr>
          <w:headerReference w:type="default" r:id="rId9"/>
          <w:headerReference w:type="first" r:id="rId10"/>
          <w:footerReference w:type="default" r:id="rId18"/>
          <w:footerReference w:type="even" r:id="rId19"/>
          <w:footerReference w:type="first" r:id="rId20"/>
          <w:footnotePr/>
          <w:endnotePr/>
          <w:type w:val="nextColumn"/>
          <w:pgSz w:w="11907" w:h="16840" w:orient="portrait"/>
          <w:pgMar w:top="1440" w:right="1080" w:bottom="1440" w:left="1080" w:header="851" w:footer="851" w:gutter="0"/>
          <w:pgNumType w:start="1"/>
          <w:cols w:num="1" w:sep="0" w:space="1701" w:equalWidth="1"/>
          <w:docGrid w:linePitch="360"/>
          <w:titlePg/>
        </w:sectPr>
      </w:pPr>
      <w:r>
        <w:rPr>
          <w:rFonts w:hint="eastAsia" w:ascii="仿宋" w:hAnsi="仿宋" w:eastAsia="仿宋" w:cs="仿宋"/>
          <w:b/>
          <w:color w:val="000000"/>
          <w:sz w:val="72"/>
          <w:highlight w:val="none"/>
        </w:rPr>
        <w:br w:type="page" w:clear="all"/>
      </w:r>
      <w:r/>
    </w:p>
    <w:p>
      <w:pPr>
        <w:pStyle w:val="1032"/>
        <w:jc w:val="center"/>
        <w:spacing w:line="360" w:lineRule="auto"/>
        <w:rPr>
          <w:rFonts w:hint="eastAsia" w:ascii="仿宋" w:hAnsi="仿宋" w:eastAsia="仿宋" w:cs="仿宋"/>
          <w:b/>
          <w:color w:val="000000"/>
          <w:sz w:val="36"/>
          <w:szCs w:val="36"/>
          <w:highlight w:val="none"/>
        </w:rPr>
        <w:outlineLvl w:val="0"/>
      </w:pPr>
      <w:r/>
      <w:bookmarkStart w:id="1" w:name="_Toc108044427"/>
      <w:r/>
      <w:bookmarkStart w:id="2" w:name="_Toc99301418"/>
      <w:r>
        <w:rPr>
          <w:rFonts w:hint="eastAsia" w:ascii="仿宋" w:hAnsi="仿宋" w:eastAsia="仿宋" w:cs="仿宋"/>
          <w:b/>
          <w:color w:val="000000"/>
          <w:sz w:val="36"/>
          <w:szCs w:val="36"/>
          <w:highlight w:val="none"/>
        </w:rPr>
      </w:r>
      <w:r/>
    </w:p>
    <w:p>
      <w:pPr>
        <w:pStyle w:val="1032"/>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目      录</w:t>
      </w:r>
      <w:bookmarkEnd w:id="1"/>
      <w:r/>
      <w:bookmarkEnd w:id="2"/>
      <w:r>
        <w:rPr>
          <w:rFonts w:hint="eastAsia" w:ascii="仿宋" w:hAnsi="仿宋" w:eastAsia="仿宋" w:cs="仿宋"/>
          <w:b/>
          <w:bCs/>
          <w:color w:val="000000"/>
          <w:sz w:val="44"/>
          <w:szCs w:val="44"/>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spacing w:line="48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66"/>
        <w:spacing w:line="480" w:lineRule="auto"/>
        <w:tabs>
          <w:tab w:val="right" w:pos="9747" w:leader="dot"/>
        </w:tabs>
        <w:rPr>
          <w:color w:val="000000"/>
          <w:sz w:val="28"/>
          <w:szCs w:val="28"/>
          <w:highlight w:val="none"/>
        </w:rPr>
      </w:pP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TOC \o "1-1" \h \z \u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HYPERLINK \l _Toc17427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color w:val="000000"/>
          <w:sz w:val="28"/>
          <w:szCs w:val="28"/>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_Toc17427 \h </w:instrText>
      </w:r>
      <w:r>
        <w:rPr>
          <w:color w:val="000000"/>
          <w:sz w:val="28"/>
          <w:szCs w:val="28"/>
          <w:highlight w:val="none"/>
        </w:rPr>
        <w:fldChar w:fldCharType="separate"/>
      </w:r>
      <w:r>
        <w:rPr>
          <w:color w:val="000000"/>
          <w:sz w:val="28"/>
          <w:szCs w:val="28"/>
          <w:highlight w:val="none"/>
        </w:rPr>
        <w:t xml:space="preserve">2</w:t>
      </w:r>
      <w:r>
        <w:rPr>
          <w:color w:val="000000"/>
          <w:sz w:val="28"/>
          <w:szCs w:val="28"/>
          <w:highlight w:val="none"/>
        </w:rPr>
        <w:fldChar w:fldCharType="end"/>
      </w:r>
      <w:r>
        <w:rPr>
          <w:rFonts w:hint="eastAsia" w:ascii="仿宋" w:hAnsi="仿宋" w:eastAsia="仿宋" w:cs="仿宋"/>
          <w:bCs/>
          <w:color w:val="000000"/>
          <w:sz w:val="28"/>
          <w:szCs w:val="28"/>
          <w:highlight w:val="none"/>
        </w:rPr>
        <w:fldChar w:fldCharType="end"/>
      </w:r>
      <w:r>
        <w:rPr>
          <w:color w:val="000000"/>
          <w:sz w:val="28"/>
          <w:szCs w:val="28"/>
          <w:highlight w:val="none"/>
        </w:rPr>
      </w:r>
      <w:r/>
    </w:p>
    <w:p>
      <w:pPr>
        <w:pStyle w:val="1066"/>
        <w:spacing w:line="480" w:lineRule="auto"/>
        <w:tabs>
          <w:tab w:val="right" w:pos="9747" w:leader="dot"/>
        </w:tabs>
        <w:rPr>
          <w:color w:val="000000"/>
          <w:sz w:val="28"/>
          <w:szCs w:val="28"/>
          <w:highlight w:val="none"/>
        </w:rPr>
      </w:pP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HYPERLINK \l _Toc12010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color w:val="000000"/>
          <w:sz w:val="28"/>
          <w:szCs w:val="28"/>
          <w:highlight w:val="none"/>
        </w:rPr>
        <w:t xml:space="preserve">第二章   供应商须知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_Toc12010 \h </w:instrText>
      </w:r>
      <w:r>
        <w:rPr>
          <w:color w:val="000000"/>
          <w:sz w:val="28"/>
          <w:szCs w:val="28"/>
          <w:highlight w:val="none"/>
        </w:rPr>
        <w:fldChar w:fldCharType="separate"/>
      </w:r>
      <w:r>
        <w:rPr>
          <w:color w:val="000000"/>
          <w:sz w:val="28"/>
          <w:szCs w:val="28"/>
          <w:highlight w:val="none"/>
        </w:rPr>
        <w:t xml:space="preserve">5</w:t>
      </w:r>
      <w:r>
        <w:rPr>
          <w:color w:val="000000"/>
          <w:sz w:val="28"/>
          <w:szCs w:val="28"/>
          <w:highlight w:val="none"/>
        </w:rPr>
        <w:fldChar w:fldCharType="end"/>
      </w:r>
      <w:r>
        <w:rPr>
          <w:rFonts w:hint="eastAsia" w:ascii="仿宋" w:hAnsi="仿宋" w:eastAsia="仿宋" w:cs="仿宋"/>
          <w:bCs/>
          <w:color w:val="000000"/>
          <w:sz w:val="28"/>
          <w:szCs w:val="28"/>
          <w:highlight w:val="none"/>
        </w:rPr>
        <w:fldChar w:fldCharType="end"/>
      </w:r>
      <w:r>
        <w:rPr>
          <w:color w:val="000000"/>
          <w:sz w:val="28"/>
          <w:szCs w:val="28"/>
          <w:highlight w:val="none"/>
        </w:rPr>
      </w:r>
      <w:r/>
    </w:p>
    <w:p>
      <w:pPr>
        <w:pStyle w:val="1066"/>
        <w:spacing w:line="480" w:lineRule="auto"/>
        <w:tabs>
          <w:tab w:val="right" w:pos="9747" w:leader="dot"/>
        </w:tabs>
        <w:rPr>
          <w:color w:val="000000"/>
          <w:sz w:val="28"/>
          <w:szCs w:val="28"/>
          <w:highlight w:val="none"/>
        </w:rPr>
      </w:pP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HYPERLINK \l _Toc27092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color w:val="000000"/>
          <w:sz w:val="28"/>
          <w:szCs w:val="28"/>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_Toc27092 \h </w:instrText>
      </w:r>
      <w:r>
        <w:rPr>
          <w:color w:val="000000"/>
          <w:sz w:val="28"/>
          <w:szCs w:val="28"/>
          <w:highlight w:val="none"/>
        </w:rPr>
        <w:fldChar w:fldCharType="separate"/>
      </w:r>
      <w:r>
        <w:rPr>
          <w:color w:val="000000"/>
          <w:sz w:val="28"/>
          <w:szCs w:val="28"/>
          <w:highlight w:val="none"/>
        </w:rPr>
        <w:t xml:space="preserve">17</w:t>
      </w:r>
      <w:r>
        <w:rPr>
          <w:color w:val="000000"/>
          <w:sz w:val="28"/>
          <w:szCs w:val="28"/>
          <w:highlight w:val="none"/>
        </w:rPr>
        <w:fldChar w:fldCharType="end"/>
      </w:r>
      <w:r>
        <w:rPr>
          <w:rFonts w:hint="eastAsia" w:ascii="仿宋" w:hAnsi="仿宋" w:eastAsia="仿宋" w:cs="仿宋"/>
          <w:bCs/>
          <w:color w:val="000000"/>
          <w:sz w:val="28"/>
          <w:szCs w:val="28"/>
          <w:highlight w:val="none"/>
        </w:rPr>
        <w:fldChar w:fldCharType="end"/>
      </w:r>
      <w:r>
        <w:rPr>
          <w:color w:val="000000"/>
          <w:sz w:val="28"/>
          <w:szCs w:val="28"/>
          <w:highlight w:val="none"/>
        </w:rPr>
      </w:r>
      <w:r/>
    </w:p>
    <w:p>
      <w:pPr>
        <w:pStyle w:val="1066"/>
        <w:spacing w:line="480" w:lineRule="auto"/>
        <w:tabs>
          <w:tab w:val="right" w:pos="9747" w:leader="dot"/>
        </w:tabs>
        <w:rPr>
          <w:color w:val="000000"/>
          <w:sz w:val="28"/>
          <w:szCs w:val="28"/>
          <w:highlight w:val="none"/>
        </w:rPr>
      </w:pP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HYPERLINK \l _Toc19769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color w:val="000000"/>
          <w:sz w:val="28"/>
          <w:szCs w:val="28"/>
          <w:highlight w:val="none"/>
        </w:rPr>
        <w:t xml:space="preserve">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_Toc19769 \h </w:instrText>
      </w:r>
      <w:r>
        <w:rPr>
          <w:color w:val="000000"/>
          <w:sz w:val="28"/>
          <w:szCs w:val="28"/>
          <w:highlight w:val="none"/>
        </w:rPr>
        <w:fldChar w:fldCharType="separate"/>
      </w:r>
      <w:r>
        <w:rPr>
          <w:color w:val="000000"/>
          <w:sz w:val="28"/>
          <w:szCs w:val="28"/>
          <w:highlight w:val="none"/>
        </w:rPr>
        <w:t xml:space="preserve">19</w:t>
      </w:r>
      <w:r>
        <w:rPr>
          <w:color w:val="000000"/>
          <w:sz w:val="28"/>
          <w:szCs w:val="28"/>
          <w:highlight w:val="none"/>
        </w:rPr>
        <w:fldChar w:fldCharType="end"/>
      </w:r>
      <w:r>
        <w:rPr>
          <w:rFonts w:hint="eastAsia" w:ascii="仿宋" w:hAnsi="仿宋" w:eastAsia="仿宋" w:cs="仿宋"/>
          <w:bCs/>
          <w:color w:val="000000"/>
          <w:sz w:val="28"/>
          <w:szCs w:val="28"/>
          <w:highlight w:val="none"/>
        </w:rPr>
        <w:fldChar w:fldCharType="end"/>
      </w:r>
      <w:r>
        <w:rPr>
          <w:color w:val="000000"/>
          <w:sz w:val="28"/>
          <w:szCs w:val="28"/>
          <w:highlight w:val="none"/>
        </w:rPr>
      </w:r>
      <w:r/>
    </w:p>
    <w:p>
      <w:pPr>
        <w:pStyle w:val="1066"/>
        <w:spacing w:line="480" w:lineRule="auto"/>
        <w:tabs>
          <w:tab w:val="right" w:pos="9747" w:leader="dot"/>
        </w:tabs>
        <w:rPr>
          <w:color w:val="000000"/>
          <w:sz w:val="28"/>
          <w:szCs w:val="28"/>
          <w:highlight w:val="none"/>
        </w:rPr>
      </w:pP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HYPERLINK \l _Toc4942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color w:val="000000"/>
          <w:sz w:val="28"/>
          <w:szCs w:val="28"/>
          <w:highlight w:val="none"/>
        </w:rPr>
        <w:t xml:space="preserve">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_Toc4942 \h </w:instrText>
      </w:r>
      <w:r>
        <w:rPr>
          <w:color w:val="000000"/>
          <w:sz w:val="28"/>
          <w:szCs w:val="28"/>
          <w:highlight w:val="none"/>
        </w:rPr>
        <w:fldChar w:fldCharType="separate"/>
      </w:r>
      <w:r>
        <w:rPr>
          <w:color w:val="000000"/>
          <w:sz w:val="28"/>
          <w:szCs w:val="28"/>
          <w:highlight w:val="none"/>
        </w:rPr>
        <w:t xml:space="preserve">30</w:t>
      </w:r>
      <w:r>
        <w:rPr>
          <w:color w:val="000000"/>
          <w:sz w:val="28"/>
          <w:szCs w:val="28"/>
          <w:highlight w:val="none"/>
        </w:rPr>
        <w:fldChar w:fldCharType="end"/>
      </w:r>
      <w:r>
        <w:rPr>
          <w:rFonts w:hint="eastAsia" w:ascii="仿宋" w:hAnsi="仿宋" w:eastAsia="仿宋" w:cs="仿宋"/>
          <w:bCs/>
          <w:color w:val="000000"/>
          <w:sz w:val="28"/>
          <w:szCs w:val="28"/>
          <w:highlight w:val="none"/>
        </w:rPr>
        <w:fldChar w:fldCharType="end"/>
      </w:r>
      <w:r>
        <w:rPr>
          <w:color w:val="000000"/>
          <w:sz w:val="28"/>
          <w:szCs w:val="28"/>
          <w:highlight w:val="none"/>
        </w:rPr>
      </w:r>
      <w:r/>
    </w:p>
    <w:p>
      <w:pPr>
        <w:pStyle w:val="1066"/>
        <w:spacing w:line="480" w:lineRule="auto"/>
        <w:tabs>
          <w:tab w:val="right" w:pos="9747" w:leader="dot"/>
        </w:tabs>
        <w:rPr>
          <w:color w:val="000000"/>
          <w:sz w:val="28"/>
          <w:szCs w:val="28"/>
          <w:highlight w:val="none"/>
        </w:rPr>
      </w:pP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HYPERLINK \l _Toc27685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color w:val="000000"/>
          <w:sz w:val="28"/>
          <w:szCs w:val="28"/>
          <w:highlight w:val="none"/>
        </w:rPr>
        <w:t xml:space="preserve">第六章   拟签订的合同文本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_Toc27685 \h </w:instrText>
      </w:r>
      <w:r>
        <w:rPr>
          <w:color w:val="000000"/>
          <w:sz w:val="28"/>
          <w:szCs w:val="28"/>
          <w:highlight w:val="none"/>
        </w:rPr>
        <w:fldChar w:fldCharType="separate"/>
      </w:r>
      <w:r>
        <w:rPr>
          <w:color w:val="000000"/>
          <w:sz w:val="28"/>
          <w:szCs w:val="28"/>
          <w:highlight w:val="none"/>
        </w:rPr>
        <w:t xml:space="preserve">39</w:t>
      </w:r>
      <w:r>
        <w:rPr>
          <w:color w:val="000000"/>
          <w:sz w:val="28"/>
          <w:szCs w:val="28"/>
          <w:highlight w:val="none"/>
        </w:rPr>
        <w:fldChar w:fldCharType="end"/>
      </w:r>
      <w:r>
        <w:rPr>
          <w:rFonts w:hint="eastAsia" w:ascii="仿宋" w:hAnsi="仿宋" w:eastAsia="仿宋" w:cs="仿宋"/>
          <w:bCs/>
          <w:color w:val="000000"/>
          <w:sz w:val="28"/>
          <w:szCs w:val="28"/>
          <w:highlight w:val="none"/>
        </w:rPr>
        <w:fldChar w:fldCharType="end"/>
      </w:r>
      <w:r>
        <w:rPr>
          <w:color w:val="000000"/>
          <w:sz w:val="28"/>
          <w:szCs w:val="28"/>
          <w:highlight w:val="none"/>
        </w:rPr>
      </w:r>
      <w:r/>
    </w:p>
    <w:p>
      <w:pPr>
        <w:pStyle w:val="1066"/>
        <w:spacing w:line="480" w:lineRule="auto"/>
        <w:tabs>
          <w:tab w:val="right" w:pos="9747" w:leader="dot"/>
        </w:tabs>
        <w:rPr>
          <w:color w:val="000000"/>
          <w:sz w:val="28"/>
          <w:szCs w:val="28"/>
          <w:highlight w:val="none"/>
        </w:rPr>
      </w:pP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HYPERLINK \l _Toc21295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color w:val="000000"/>
          <w:sz w:val="28"/>
          <w:szCs w:val="28"/>
          <w:highlight w:val="none"/>
        </w:rPr>
        <w:t xml:space="preserve">第七章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_Toc21295 \h </w:instrText>
      </w:r>
      <w:r>
        <w:rPr>
          <w:color w:val="000000"/>
          <w:sz w:val="28"/>
          <w:szCs w:val="28"/>
          <w:highlight w:val="none"/>
        </w:rPr>
        <w:fldChar w:fldCharType="separate"/>
      </w:r>
      <w:r>
        <w:rPr>
          <w:color w:val="000000"/>
          <w:sz w:val="28"/>
          <w:szCs w:val="28"/>
          <w:highlight w:val="none"/>
        </w:rPr>
        <w:t xml:space="preserve">50</w:t>
      </w:r>
      <w:r>
        <w:rPr>
          <w:color w:val="000000"/>
          <w:sz w:val="28"/>
          <w:szCs w:val="28"/>
          <w:highlight w:val="none"/>
        </w:rPr>
        <w:fldChar w:fldCharType="end"/>
      </w:r>
      <w:r>
        <w:rPr>
          <w:rFonts w:hint="eastAsia" w:ascii="仿宋" w:hAnsi="仿宋" w:eastAsia="仿宋" w:cs="仿宋"/>
          <w:bCs/>
          <w:color w:val="000000"/>
          <w:sz w:val="28"/>
          <w:szCs w:val="28"/>
          <w:highlight w:val="none"/>
        </w:rPr>
        <w:fldChar w:fldCharType="end"/>
      </w:r>
      <w:r>
        <w:rPr>
          <w:color w:val="000000"/>
          <w:sz w:val="28"/>
          <w:szCs w:val="28"/>
          <w:highlight w:val="none"/>
        </w:rPr>
      </w:r>
      <w:r/>
    </w:p>
    <w:p>
      <w:pPr>
        <w:pStyle w:val="1267"/>
        <w:spacing w:line="480" w:lineRule="auto"/>
        <w:tabs>
          <w:tab w:val="left" w:pos="1050" w:leader="none"/>
          <w:tab w:val="right" w:pos="8937" w:leader="dot"/>
        </w:tabs>
        <w:rPr>
          <w:rFonts w:hint="eastAsia" w:ascii="仿宋" w:hAnsi="仿宋" w:eastAsia="仿宋" w:cs="仿宋"/>
          <w:b w:val="0"/>
          <w:color w:val="000000"/>
          <w:sz w:val="28"/>
          <w:szCs w:val="28"/>
          <w:highlight w:val="none"/>
        </w:rPr>
      </w:pPr>
      <w:r>
        <w:rPr>
          <w:rFonts w:hint="eastAsia" w:ascii="仿宋" w:hAnsi="仿宋" w:eastAsia="仿宋" w:cs="仿宋"/>
          <w:bCs/>
          <w:color w:val="000000"/>
          <w:sz w:val="28"/>
          <w:szCs w:val="28"/>
          <w:highlight w:val="none"/>
        </w:rPr>
        <w:fldChar w:fldCharType="end"/>
      </w:r>
      <w:r>
        <w:rPr>
          <w:rFonts w:hint="eastAsia" w:ascii="仿宋" w:hAnsi="仿宋" w:eastAsia="仿宋" w:cs="仿宋"/>
          <w:b w:val="0"/>
          <w:color w:val="000000"/>
          <w:sz w:val="28"/>
          <w:szCs w:val="28"/>
          <w:highlight w:val="none"/>
        </w:rPr>
      </w:r>
      <w:r/>
    </w:p>
    <w:p>
      <w:pPr>
        <w:pStyle w:val="1032"/>
        <w:contextualSpacing/>
        <w:ind w:firstLine="420"/>
        <w:jc w:val="center"/>
        <w:spacing w:line="360" w:lineRule="auto"/>
        <w:widowControl/>
        <w:rPr>
          <w:rStyle w:val="1217"/>
          <w:rFonts w:hint="eastAsia" w:ascii="仿宋" w:hAnsi="仿宋" w:eastAsia="仿宋" w:cs="仿宋"/>
          <w:color w:val="000000"/>
          <w:highlight w:val="none"/>
        </w:rPr>
      </w:pPr>
      <w:r>
        <w:rPr>
          <w:rFonts w:hint="eastAsia" w:ascii="仿宋" w:hAnsi="仿宋" w:eastAsia="仿宋" w:cs="仿宋"/>
          <w:b/>
          <w:color w:val="000000"/>
          <w:szCs w:val="36"/>
          <w:highlight w:val="none"/>
        </w:rPr>
        <w:br w:type="page" w:clear="all"/>
      </w:r>
      <w:bookmarkStart w:id="3" w:name="_Toc17427"/>
      <w:r>
        <w:rPr>
          <w:rStyle w:val="1217"/>
          <w:rFonts w:hint="eastAsia" w:ascii="仿宋" w:hAnsi="仿宋" w:eastAsia="仿宋" w:cs="仿宋"/>
          <w:color w:val="000000"/>
          <w:highlight w:val="none"/>
        </w:rPr>
        <w:t xml:space="preserve">第一章   投标邀请</w:t>
      </w:r>
      <w:bookmarkEnd w:id="3"/>
      <w:r>
        <w:rPr>
          <w:rStyle w:val="1217"/>
          <w:rFonts w:hint="eastAsia" w:ascii="仿宋" w:hAnsi="仿宋" w:eastAsia="仿宋" w:cs="仿宋"/>
          <w:color w:val="000000"/>
          <w:highlight w:val="none"/>
        </w:rPr>
      </w:r>
      <w:r/>
    </w:p>
    <w:p>
      <w:pPr>
        <w:pStyle w:val="1218"/>
        <w:jc w:val="left"/>
        <w:spacing w:before="0" w:line="360" w:lineRule="auto"/>
        <w:rPr>
          <w:rFonts w:hint="eastAsia" w:ascii="仿宋" w:hAnsi="仿宋" w:eastAsia="仿宋" w:cs="仿宋"/>
          <w:color w:val="000000"/>
          <w:sz w:val="21"/>
          <w:szCs w:val="21"/>
          <w:highlight w:val="none"/>
        </w:rPr>
      </w:pPr>
      <w:r/>
      <w:bookmarkStart w:id="4" w:name="_Toc35393790"/>
      <w:r/>
      <w:bookmarkStart w:id="5" w:name="_Toc28359079"/>
      <w:r/>
      <w:bookmarkStart w:id="6" w:name="_Toc35393621"/>
      <w:r/>
      <w:bookmarkStart w:id="7" w:name="_Toc28359002"/>
      <w:r/>
      <w:bookmarkStart w:id="8" w:name="_Hlk24379207"/>
      <w:r/>
      <w:bookmarkStart w:id="9" w:name="_Hlk139626825"/>
      <w:r/>
      <w:bookmarkStart w:id="10" w:name="_Hlk138939735"/>
      <w:r>
        <w:rPr>
          <w:rFonts w:hint="eastAsia" w:ascii="仿宋" w:hAnsi="仿宋" w:eastAsia="仿宋" w:cs="仿宋"/>
          <w:color w:val="000000"/>
          <w:sz w:val="21"/>
          <w:szCs w:val="21"/>
          <w:highlight w:val="none"/>
        </w:rPr>
        <w:t xml:space="preserve">一、项目基本情况</w:t>
      </w:r>
      <w:bookmarkEnd w:id="4"/>
      <w:r/>
      <w:bookmarkEnd w:id="5"/>
      <w:r/>
      <w:bookmarkEnd w:id="6"/>
      <w:r/>
      <w:bookmarkEnd w:id="7"/>
      <w:r>
        <w:rPr>
          <w:rFonts w:hint="eastAsia" w:ascii="仿宋" w:hAnsi="仿宋" w:eastAsia="仿宋" w:cs="仿宋"/>
          <w:color w:val="000000"/>
          <w:sz w:val="21"/>
          <w:szCs w:val="21"/>
          <w:highlight w:val="none"/>
        </w:rPr>
      </w:r>
      <w:r/>
    </w:p>
    <w:p>
      <w:pPr>
        <w:pStyle w:val="1032"/>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1.项目编号/包号：</w:t>
      </w:r>
      <w:r>
        <w:rPr>
          <w:rFonts w:hint="eastAsia" w:ascii="仿宋" w:hAnsi="仿宋" w:eastAsia="仿宋" w:cs="仿宋"/>
          <w:color w:val="000000"/>
          <w:szCs w:val="21"/>
          <w:highlight w:val="none"/>
          <w:lang w:eastAsia="zh-CN"/>
        </w:rPr>
        <w:t xml:space="preserve">JSZC-320404-SCJX-G2026-0011</w:t>
      </w:r>
      <w:r>
        <w:rPr>
          <w:rFonts w:hint="eastAsia" w:ascii="仿宋" w:hAnsi="仿宋" w:eastAsia="仿宋" w:cs="仿宋"/>
          <w:color w:val="000000"/>
          <w:szCs w:val="21"/>
          <w:highlight w:val="none"/>
          <w:lang w:eastAsia="zh-CN"/>
        </w:rPr>
      </w:r>
      <w:r/>
    </w:p>
    <w:p>
      <w:pPr>
        <w:pStyle w:val="1032"/>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2.项目名称：</w:t>
      </w:r>
      <w:bookmarkEnd w:id="8"/>
      <w:r>
        <w:rPr>
          <w:rFonts w:hint="eastAsia" w:ascii="仿宋" w:hAnsi="仿宋" w:eastAsia="仿宋" w:cs="仿宋"/>
          <w:color w:val="000000"/>
          <w:szCs w:val="21"/>
          <w:highlight w:val="none"/>
          <w:lang w:eastAsia="zh-CN"/>
        </w:rPr>
        <w:t xml:space="preserve">常州市钟楼区五星街道社区卫生服务中心职工食堂委托经营服务（二次）</w:t>
      </w:r>
      <w:r>
        <w:rPr>
          <w:rFonts w:hint="eastAsia" w:ascii="仿宋" w:hAnsi="仿宋" w:eastAsia="仿宋" w:cs="仿宋"/>
          <w:color w:val="000000"/>
          <w:szCs w:val="21"/>
          <w:highlight w:val="none"/>
          <w:lang w:eastAsia="zh-CN"/>
        </w:rPr>
      </w:r>
      <w:r/>
    </w:p>
    <w:p>
      <w:pPr>
        <w:pStyle w:val="1032"/>
        <w:ind w:firstLine="422"/>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3.项目预算金额：</w:t>
      </w:r>
      <w:r>
        <w:rPr>
          <w:rFonts w:hint="eastAsia" w:ascii="仿宋" w:hAnsi="仿宋" w:eastAsia="仿宋" w:cs="仿宋"/>
          <w:b/>
          <w:bCs/>
          <w:color w:val="000000"/>
          <w:szCs w:val="21"/>
          <w:highlight w:val="none"/>
          <w:lang w:val="en-US" w:eastAsia="zh-CN"/>
        </w:rPr>
        <w:t xml:space="preserve">人民币135万元/三年（约45万元/年）</w:t>
      </w:r>
      <w:r>
        <w:rPr>
          <w:rFonts w:hint="eastAsia" w:ascii="仿宋" w:hAnsi="仿宋" w:eastAsia="仿宋" w:cs="仿宋"/>
          <w:b/>
          <w:bCs/>
          <w:color w:val="000000"/>
          <w:szCs w:val="21"/>
          <w:highlight w:val="none"/>
        </w:rPr>
      </w:r>
      <w:r/>
    </w:p>
    <w:p>
      <w:pPr>
        <w:pStyle w:val="1032"/>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rPr>
        <w:t xml:space="preserve">项目最高限价：</w:t>
      </w:r>
      <w:r>
        <w:rPr>
          <w:rFonts w:hint="eastAsia" w:ascii="仿宋" w:hAnsi="仿宋" w:eastAsia="仿宋" w:cs="仿宋"/>
          <w:b/>
          <w:bCs/>
          <w:color w:val="000000"/>
          <w:szCs w:val="21"/>
          <w:highlight w:val="none"/>
          <w:lang w:val="en-US" w:eastAsia="zh-CN"/>
        </w:rPr>
        <w:t xml:space="preserve">本项目以各单餐用餐标准为基数，供应商在响应文件中填报固定优惠率【优惠率应大于0】。</w:t>
      </w:r>
      <w:r>
        <w:rPr>
          <w:rFonts w:hint="eastAsia" w:ascii="仿宋" w:hAnsi="仿宋" w:eastAsia="仿宋" w:cs="仿宋"/>
          <w:b/>
          <w:bCs/>
          <w:color w:val="000000"/>
          <w:szCs w:val="21"/>
          <w:highlight w:val="none"/>
          <w:lang w:val="en-US" w:eastAsia="zh-CN"/>
        </w:rPr>
      </w:r>
      <w:r/>
    </w:p>
    <w:p>
      <w:pPr>
        <w:pStyle w:val="1032"/>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每餐须按照单餐用餐标准*（1+成交优惠率）（元/人/餐）的价格提供餐食，最终按照实际就餐次数据实结算。</w:t>
      </w:r>
      <w:r>
        <w:rPr>
          <w:rFonts w:hint="eastAsia" w:ascii="仿宋" w:hAnsi="仿宋" w:eastAsia="仿宋" w:cs="仿宋"/>
          <w:b/>
          <w:bCs/>
          <w:color w:val="000000"/>
          <w:szCs w:val="21"/>
          <w:highlight w:val="none"/>
          <w:lang w:val="en-US" w:eastAsia="zh-CN"/>
        </w:rPr>
      </w:r>
      <w:r/>
    </w:p>
    <w:p>
      <w:pPr>
        <w:pStyle w:val="1032"/>
        <w:ind w:firstLine="422"/>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val="en-US" w:eastAsia="zh-CN"/>
        </w:rPr>
        <w:t xml:space="preserve">结算价举例：如单餐用餐标准为15元/人/餐，成交优惠率为20%，则成交供应商须按15*（1+20%）=18元/人/餐的标准向采购人提供餐食，实际结算价为15元/人/餐。年度结算金额不得高于45万元，高出部分不予结算。</w:t>
      </w:r>
      <w:r>
        <w:rPr>
          <w:rFonts w:hint="eastAsia" w:ascii="仿宋" w:hAnsi="仿宋" w:eastAsia="仿宋" w:cs="仿宋"/>
          <w:b/>
          <w:bCs/>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4.采购需求（简介）：</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lang w:val="en-US" w:eastAsia="zh-CN"/>
        </w:rPr>
        <w:t xml:space="preserve">供应商主要负责提供常州市钟楼区五星街道社区卫生服务中心职工就餐服务及少量临时接待、检修人员等人员的就餐服务，费用根据确定的餐费标准按实际就餐次数结算，供应商自负盈亏。</w:t>
      </w:r>
      <w:r>
        <w:rPr>
          <w:rFonts w:hint="eastAsia" w:ascii="仿宋" w:hAnsi="仿宋" w:eastAsia="仿宋" w:cs="仿宋"/>
          <w:color w:val="000000"/>
          <w:sz w:val="21"/>
          <w:szCs w:val="21"/>
          <w:highlight w:val="none"/>
        </w:rPr>
        <w:t xml:space="preserve">具体内容详见采购需求。</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5.合同履行期限：</w:t>
      </w:r>
      <w:r>
        <w:rPr>
          <w:rFonts w:hint="eastAsia" w:ascii="仿宋" w:hAnsi="仿宋" w:eastAsia="仿宋" w:cs="仿宋"/>
          <w:b/>
          <w:bCs/>
          <w:color w:val="000000"/>
          <w:sz w:val="21"/>
          <w:szCs w:val="21"/>
          <w:highlight w:val="none"/>
          <w:lang w:eastAsia="zh-CN"/>
        </w:rPr>
        <w:t xml:space="preserve">暂定三年，合同一年一签。</w:t>
      </w:r>
      <w:r>
        <w:rPr>
          <w:rFonts w:hint="eastAsia" w:ascii="仿宋" w:hAnsi="仿宋" w:eastAsia="仿宋" w:cs="仿宋"/>
          <w:b/>
          <w:bCs/>
          <w:color w:val="000000"/>
          <w:sz w:val="21"/>
          <w:szCs w:val="21"/>
          <w:highlight w:val="none"/>
          <w:lang w:val="en-US" w:eastAsia="zh-CN"/>
        </w:rPr>
        <w:t xml:space="preserve">一年</w:t>
      </w:r>
      <w:r>
        <w:rPr>
          <w:rFonts w:hint="eastAsia" w:ascii="仿宋" w:hAnsi="仿宋" w:eastAsia="仿宋" w:cs="仿宋"/>
          <w:b/>
          <w:bCs/>
          <w:color w:val="000000"/>
          <w:sz w:val="21"/>
          <w:szCs w:val="21"/>
          <w:highlight w:val="none"/>
          <w:lang w:eastAsia="zh-CN"/>
        </w:rPr>
        <w:t xml:space="preserve">合同服务期满后，采购人根据考核结果确定是否续签服务合同，若考核情况良好，</w:t>
      </w:r>
      <w:r>
        <w:rPr>
          <w:rFonts w:hint="eastAsia" w:ascii="仿宋" w:hAnsi="仿宋" w:eastAsia="仿宋" w:cs="仿宋"/>
          <w:b/>
          <w:bCs/>
          <w:color w:val="000000"/>
          <w:sz w:val="21"/>
          <w:szCs w:val="21"/>
          <w:highlight w:val="none"/>
          <w:lang w:val="en-US" w:eastAsia="zh-CN"/>
        </w:rPr>
        <w:t xml:space="preserve">可续签</w:t>
      </w:r>
      <w:r>
        <w:rPr>
          <w:rFonts w:hint="eastAsia" w:ascii="仿宋" w:hAnsi="仿宋" w:eastAsia="仿宋" w:cs="仿宋"/>
          <w:b/>
          <w:bCs/>
          <w:color w:val="000000"/>
          <w:sz w:val="21"/>
          <w:szCs w:val="21"/>
          <w:highlight w:val="none"/>
          <w:lang w:eastAsia="zh-CN"/>
        </w:rPr>
        <w:t xml:space="preserve">下一</w:t>
      </w:r>
      <w:r>
        <w:rPr>
          <w:rFonts w:hint="eastAsia" w:ascii="仿宋" w:hAnsi="仿宋" w:eastAsia="仿宋" w:cs="仿宋"/>
          <w:b/>
          <w:bCs/>
          <w:color w:val="000000"/>
          <w:sz w:val="21"/>
          <w:szCs w:val="21"/>
          <w:highlight w:val="none"/>
          <w:lang w:val="en-US" w:eastAsia="zh-CN"/>
        </w:rPr>
        <w:t xml:space="preserve">年度</w:t>
      </w:r>
      <w:r>
        <w:rPr>
          <w:rFonts w:hint="eastAsia" w:ascii="仿宋" w:hAnsi="仿宋" w:eastAsia="仿宋" w:cs="仿宋"/>
          <w:b/>
          <w:bCs/>
          <w:color w:val="000000"/>
          <w:sz w:val="21"/>
          <w:szCs w:val="21"/>
          <w:highlight w:val="none"/>
          <w:lang w:eastAsia="zh-CN"/>
        </w:rPr>
        <w:t xml:space="preserve">的服务合同，续签最多不超过2次。</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6.本项目是否接受联合体投标：不接受。</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7.本项目是否接受进口产品投标：不接受。</w:t>
      </w:r>
      <w:r>
        <w:rPr>
          <w:rFonts w:hint="eastAsia" w:ascii="仿宋" w:hAnsi="仿宋" w:eastAsia="仿宋" w:cs="仿宋"/>
          <w:color w:val="000000"/>
          <w:szCs w:val="21"/>
          <w:highlight w:val="none"/>
        </w:rPr>
      </w:r>
      <w:r/>
    </w:p>
    <w:p>
      <w:pPr>
        <w:pStyle w:val="1218"/>
        <w:jc w:val="left"/>
        <w:spacing w:before="0" w:line="360" w:lineRule="auto"/>
        <w:rPr>
          <w:rFonts w:hint="eastAsia" w:ascii="仿宋" w:hAnsi="仿宋" w:eastAsia="仿宋" w:cs="仿宋"/>
          <w:color w:val="000000"/>
          <w:sz w:val="21"/>
          <w:szCs w:val="21"/>
          <w:highlight w:val="none"/>
        </w:rPr>
      </w:pPr>
      <w:r/>
      <w:bookmarkStart w:id="11" w:name="_Toc35393791"/>
      <w:r/>
      <w:bookmarkStart w:id="12" w:name="_Toc28359080"/>
      <w:r/>
      <w:bookmarkStart w:id="13" w:name="_Toc35393622"/>
      <w:r/>
      <w:bookmarkStart w:id="14" w:name="_Toc28359003"/>
      <w:r>
        <w:rPr>
          <w:rFonts w:hint="eastAsia" w:ascii="仿宋" w:hAnsi="仿宋" w:eastAsia="仿宋" w:cs="仿宋"/>
          <w:color w:val="000000"/>
          <w:sz w:val="21"/>
          <w:szCs w:val="21"/>
          <w:highlight w:val="none"/>
        </w:rPr>
        <w:t xml:space="preserve">二、申请人的资格要求（须同时满足）</w:t>
      </w:r>
      <w:bookmarkEnd w:id="11"/>
      <w:r/>
      <w:bookmarkEnd w:id="12"/>
      <w:r/>
      <w:bookmarkEnd w:id="13"/>
      <w:r/>
      <w:bookmarkEnd w:id="14"/>
      <w:r>
        <w:rPr>
          <w:rFonts w:hint="eastAsia" w:ascii="仿宋" w:hAnsi="仿宋" w:eastAsia="仿宋" w:cs="仿宋"/>
          <w:color w:val="000000"/>
          <w:sz w:val="21"/>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1.满足《中华人民共和国政府采购法》第二十二条规定以及下列情形：</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bookmarkStart w:id="15" w:name="_Toc28359081"/>
      <w:r/>
      <w:bookmarkStart w:id="16" w:name="_Toc28359004"/>
      <w:r>
        <w:rPr>
          <w:rFonts w:hint="eastAsia" w:ascii="仿宋" w:hAnsi="仿宋" w:eastAsia="仿宋" w:cs="仿宋"/>
          <w:color w:val="000000"/>
          <w:szCs w:val="21"/>
          <w:highlight w:val="none"/>
        </w:rPr>
        <w:t xml:space="preserve">2.落实政府采购政策需满足的资格要求：</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 中小企业政策（说明：中小企业包含中型、小型、微型企业，小微企业包含小型、微型企业）</w:t>
      </w:r>
      <w:r>
        <w:rPr>
          <w:rFonts w:hint="eastAsia" w:ascii="仿宋" w:hAnsi="仿宋" w:eastAsia="仿宋" w:cs="仿宋"/>
          <w:color w:val="000000"/>
          <w:szCs w:val="21"/>
          <w:highlight w:val="none"/>
        </w:rPr>
      </w:r>
      <w:r/>
    </w:p>
    <w:p>
      <w:pPr>
        <w:pStyle w:val="1054"/>
        <w:spacing w:line="360" w:lineRule="auto"/>
        <w:shd w:val="clear" w:color="auto" w:fill="ffff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本项目专门面向中小</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小微企业采购。即：提供的货物全部由符合政策要求的中小/小微企业制造、服务全部由符合政策要求的中小/小微企业承接。说明：中小企业包含中型、小型、微型企业，残疾人福利性单位和监狱企业视同小微企业。</w:t>
      </w:r>
      <w:r>
        <w:rPr>
          <w:rFonts w:hint="eastAsia" w:ascii="仿宋" w:hAnsi="仿宋" w:eastAsia="仿宋" w:cs="仿宋"/>
          <w:b/>
          <w:bCs/>
          <w:color w:val="000000"/>
          <w:sz w:val="21"/>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 其它落实政府采购政策的资格要求（如有）：</w:t>
      </w:r>
      <w:r>
        <w:rPr>
          <w:rFonts w:hint="eastAsia" w:ascii="仿宋" w:hAnsi="仿宋" w:eastAsia="仿宋" w:cs="仿宋"/>
          <w:color w:val="000000"/>
          <w:szCs w:val="21"/>
          <w:highlight w:val="none"/>
          <w:u w:val="single"/>
        </w:rPr>
        <w:t xml:space="preserve">无</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i/>
          <w:iCs/>
          <w:color w:val="000000"/>
          <w:szCs w:val="21"/>
          <w:highlight w:val="none"/>
          <w:u w:val="single"/>
        </w:rPr>
      </w:pPr>
      <w:r>
        <w:rPr>
          <w:rFonts w:hint="eastAsia" w:ascii="仿宋" w:hAnsi="仿宋" w:eastAsia="仿宋" w:cs="仿宋"/>
          <w:color w:val="000000"/>
          <w:szCs w:val="21"/>
          <w:highlight w:val="none"/>
        </w:rPr>
        <w:t xml:space="preserve">3.本项目的特定资格要求：</w:t>
      </w:r>
      <w:r>
        <w:rPr>
          <w:rFonts w:hint="eastAsia" w:ascii="仿宋" w:hAnsi="仿宋" w:eastAsia="仿宋" w:cs="仿宋"/>
          <w:i/>
          <w:iCs/>
          <w:color w:val="000000"/>
          <w:szCs w:val="21"/>
          <w:highlight w:val="none"/>
          <w:u w:val="single"/>
        </w:rPr>
      </w:r>
      <w:r/>
    </w:p>
    <w:p>
      <w:pPr>
        <w:pStyle w:val="1032"/>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3.1本项目是否接受分支机构参与投标：否； </w:t>
      </w:r>
      <w:r>
        <w:rPr>
          <w:rFonts w:hint="eastAsia" w:ascii="仿宋" w:hAnsi="仿宋" w:eastAsia="仿宋" w:cs="仿宋"/>
          <w:color w:val="000000"/>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3.2本项目是否属于政府购买服务：否；</w:t>
      </w:r>
      <w:r>
        <w:rPr>
          <w:rFonts w:hint="eastAsia" w:ascii="仿宋" w:hAnsi="仿宋" w:eastAsia="仿宋" w:cs="仿宋"/>
          <w:color w:val="000000"/>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3.3其他特定资格要求：</w:t>
      </w:r>
      <w:bookmarkEnd w:id="15"/>
      <w:r/>
      <w:bookmarkEnd w:id="16"/>
      <w:r>
        <w:rPr>
          <w:rFonts w:hint="eastAsia" w:ascii="仿宋" w:hAnsi="仿宋" w:eastAsia="仿宋" w:cs="仿宋"/>
          <w:color w:val="000000"/>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ascii="仿宋" w:hAnsi="仿宋" w:eastAsia="仿宋" w:cs="仿宋"/>
          <w:b/>
          <w:bCs/>
          <w:color w:val="000000"/>
          <w:szCs w:val="21"/>
          <w:highlight w:val="none"/>
        </w:rPr>
      </w:pPr>
      <w:r>
        <w:rPr>
          <w:rFonts w:hint="eastAsia" w:ascii="仿宋" w:hAnsi="仿宋" w:eastAsia="仿宋" w:cs="仿宋"/>
          <w:b/>
          <w:bCs/>
          <w:color w:val="000000"/>
          <w:sz w:val="21"/>
          <w:szCs w:val="21"/>
          <w:highlight w:val="none"/>
          <w:lang w:val="en-US" w:eastAsia="zh-CN"/>
        </w:rPr>
        <w:t xml:space="preserve">供应商应具有有效期内的《食品经营许可证》且经营项目必须包含“餐饮服务管理（承包集中用餐单位食堂）或（承包单位食堂）”；【备注：如供应商提供的《食品经营许可证》中的经营场所非本项目所在地，须承诺成交后在采购人要求的时间内按规定在项目所在地办理合规的《食品经营许可证》。承诺函格式自拟，未提供承诺函或承诺的内容不符合要求的，作无效响应处理】</w:t>
      </w:r>
      <w:r>
        <w:rPr>
          <w:rFonts w:ascii="仿宋" w:hAnsi="仿宋" w:eastAsia="仿宋" w:cs="仿宋"/>
          <w:b/>
          <w:bCs/>
          <w:color w:val="000000"/>
          <w:szCs w:val="21"/>
          <w:highlight w:val="none"/>
        </w:rPr>
      </w:r>
      <w:r/>
    </w:p>
    <w:p>
      <w:pPr>
        <w:pStyle w:val="1218"/>
        <w:jc w:val="left"/>
        <w:spacing w:before="0" w:line="360" w:lineRule="auto"/>
        <w:widowControl/>
        <w:rPr>
          <w:rFonts w:hint="eastAsia" w:ascii="仿宋" w:hAnsi="仿宋" w:eastAsia="仿宋" w:cs="仿宋"/>
          <w:color w:val="000000"/>
          <w:sz w:val="21"/>
          <w:szCs w:val="21"/>
          <w:highlight w:val="none"/>
        </w:rPr>
      </w:pPr>
      <w:r/>
      <w:bookmarkStart w:id="17" w:name="_Toc35393792"/>
      <w:r/>
      <w:bookmarkStart w:id="18" w:name="_Toc35393623"/>
      <w:r>
        <w:rPr>
          <w:rFonts w:hint="eastAsia" w:ascii="仿宋" w:hAnsi="仿宋" w:eastAsia="仿宋" w:cs="仿宋"/>
          <w:color w:val="000000"/>
          <w:sz w:val="21"/>
          <w:szCs w:val="21"/>
          <w:highlight w:val="none"/>
        </w:rPr>
        <w:t xml:space="preserve">三、获取招标文件</w:t>
      </w:r>
      <w:bookmarkEnd w:id="17"/>
      <w:r/>
      <w:bookmarkEnd w:id="18"/>
      <w:r>
        <w:rPr>
          <w:rFonts w:hint="eastAsia" w:ascii="仿宋" w:hAnsi="仿宋" w:eastAsia="仿宋" w:cs="仿宋"/>
          <w:color w:val="000000"/>
          <w:sz w:val="21"/>
          <w:szCs w:val="21"/>
          <w:highlight w:val="none"/>
        </w:rPr>
      </w:r>
      <w:r/>
    </w:p>
    <w:p>
      <w:pPr>
        <w:pStyle w:val="1032"/>
        <w:ind w:firstLine="422"/>
        <w:spacing w:line="360" w:lineRule="auto"/>
        <w:tabs>
          <w:tab w:val="left" w:pos="900" w:leader="none"/>
          <w:tab w:val="left" w:pos="1134" w:leader="none"/>
          <w:tab w:val="left" w:pos="1589" w:leader="none"/>
          <w:tab w:val="left" w:pos="5521" w:leader="none"/>
        </w:tabs>
        <w:rPr>
          <w:rFonts w:ascii="仿宋" w:hAnsi="仿宋" w:eastAsia="仿宋" w:cs="仿宋"/>
          <w:b/>
          <w:bCs/>
          <w:color w:val="000000"/>
          <w:szCs w:val="21"/>
          <w:highlight w:val="none"/>
          <w:lang w:val="en-US" w:eastAsia="zh-CN"/>
        </w:rPr>
      </w:pPr>
      <w:r/>
      <w:bookmarkStart w:id="19" w:name="_Toc28359008"/>
      <w:r/>
      <w:bookmarkStart w:id="20" w:name="_Toc35393796"/>
      <w:r/>
      <w:bookmarkStart w:id="21" w:name="_Toc35393627"/>
      <w:r/>
      <w:bookmarkStart w:id="22" w:name="_Toc28359085"/>
      <w:r>
        <w:rPr>
          <w:rFonts w:hint="eastAsia" w:ascii="仿宋" w:hAnsi="仿宋" w:eastAsia="仿宋" w:cs="仿宋"/>
          <w:b/>
          <w:bCs/>
          <w:color w:val="000000"/>
          <w:szCs w:val="21"/>
          <w:highlight w:val="none"/>
        </w:rPr>
        <w:t xml:space="preserve">1.时间：公告发布之日起</w:t>
      </w:r>
      <w:r>
        <w:rPr>
          <w:rFonts w:hint="eastAsia" w:ascii="仿宋" w:hAnsi="仿宋" w:eastAsia="仿宋" w:cs="仿宋"/>
          <w:b/>
          <w:bCs/>
          <w:color w:val="000000"/>
          <w:szCs w:val="21"/>
          <w:highlight w:val="none"/>
          <w:lang w:val="en-US" w:eastAsia="zh-CN"/>
        </w:rPr>
        <w:t xml:space="preserve">5个工作日</w:t>
      </w:r>
      <w:r>
        <w:rPr>
          <w:rFonts w:ascii="仿宋" w:hAnsi="仿宋" w:eastAsia="仿宋" w:cs="仿宋"/>
          <w:b/>
          <w:bCs/>
          <w:color w:val="000000"/>
          <w:szCs w:val="21"/>
          <w:highlight w:val="none"/>
          <w:lang w:val="en-US" w:eastAsia="zh-CN"/>
        </w:rPr>
      </w:r>
      <w:r/>
    </w:p>
    <w:p>
      <w:pPr>
        <w:pStyle w:val="1032"/>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2.地点：“苏采云”政府采购一体化平台</w:t>
      </w:r>
      <w:r>
        <w:rPr>
          <w:rFonts w:hint="eastAsia" w:ascii="仿宋" w:hAnsi="仿宋" w:eastAsia="仿宋" w:cs="仿宋"/>
          <w:color w:val="000000"/>
          <w:szCs w:val="21"/>
          <w:highlight w:val="none"/>
        </w:rPr>
      </w:r>
      <w:r/>
    </w:p>
    <w:p>
      <w:pPr>
        <w:pStyle w:val="1032"/>
        <w:ind w:firstLine="422"/>
        <w:jc w:val="left"/>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3.方式：“苏采云”政府采购一体化平台自行免费下载。</w:t>
      </w:r>
      <w:r>
        <w:rPr>
          <w:rFonts w:hint="eastAsia" w:ascii="仿宋" w:hAnsi="仿宋" w:eastAsia="仿宋" w:cs="仿宋"/>
          <w:b/>
          <w:bCs/>
          <w:color w:val="000000"/>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4.售价： 0 元。</w:t>
      </w:r>
      <w:r>
        <w:rPr>
          <w:rFonts w:hint="eastAsia" w:ascii="仿宋" w:hAnsi="仿宋" w:eastAsia="仿宋" w:cs="仿宋"/>
          <w:color w:val="000000"/>
          <w:szCs w:val="21"/>
          <w:highlight w:val="none"/>
        </w:rPr>
      </w:r>
      <w:r/>
    </w:p>
    <w:p>
      <w:pPr>
        <w:pStyle w:val="1032"/>
        <w:spacing w:line="360" w:lineRule="auto"/>
        <w:tabs>
          <w:tab w:val="left" w:pos="900" w:leader="none"/>
          <w:tab w:val="left" w:pos="1134" w:leader="none"/>
          <w:tab w:val="left" w:pos="1589" w:leader="none"/>
          <w:tab w:val="left" w:pos="5521"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四、提交投标文件截止时间、开标时间和地点</w:t>
      </w:r>
      <w:r>
        <w:rPr>
          <w:rFonts w:hint="eastAsia" w:ascii="仿宋" w:hAnsi="仿宋" w:eastAsia="仿宋" w:cs="仿宋"/>
          <w:b/>
          <w:color w:val="000000"/>
          <w:szCs w:val="21"/>
          <w:highlight w:val="none"/>
        </w:rPr>
      </w:r>
      <w:r/>
    </w:p>
    <w:p>
      <w:pPr>
        <w:pStyle w:val="1032"/>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投标截止时间、开标时间：</w:t>
      </w:r>
      <w:r>
        <w:rPr>
          <w:rFonts w:hint="eastAsia" w:ascii="仿宋" w:hAnsi="仿宋" w:eastAsia="仿宋" w:cs="仿宋"/>
          <w:color w:val="000000"/>
          <w:szCs w:val="21"/>
          <w:highlight w:val="none"/>
        </w:rPr>
        <w:t xml:space="preserve">2026年</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lang w:val="en-US" w:eastAsia="zh-CN"/>
        </w:rPr>
        <w:t xml:space="preserve">23</w:t>
      </w:r>
      <w:r>
        <w:rPr>
          <w:rFonts w:hint="eastAsia" w:ascii="仿宋" w:hAnsi="仿宋" w:eastAsia="仿宋" w:cs="仿宋"/>
          <w:color w:val="000000"/>
          <w:szCs w:val="21"/>
          <w:highlight w:val="none"/>
        </w:rPr>
        <w:t xml:space="preserve">日</w:t>
      </w:r>
      <w:r>
        <w:rPr>
          <w:rFonts w:hint="eastAsia" w:ascii="仿宋" w:hAnsi="仿宋" w:eastAsia="仿宋" w:cs="仿宋"/>
          <w:color w:val="000000"/>
          <w:szCs w:val="21"/>
          <w:highlight w:val="none"/>
          <w:lang w:val="en-US" w:eastAsia="zh-CN"/>
        </w:rPr>
        <w:t xml:space="preserve">09</w:t>
      </w:r>
      <w:r>
        <w:rPr>
          <w:rFonts w:hint="eastAsia" w:ascii="仿宋" w:hAnsi="仿宋" w:eastAsia="仿宋" w:cs="仿宋"/>
          <w:color w:val="000000"/>
          <w:szCs w:val="21"/>
          <w:highlight w:val="none"/>
        </w:rPr>
        <w:t xml:space="preserve">点</w:t>
      </w:r>
      <w:r>
        <w:rPr>
          <w:rFonts w:hint="eastAsia" w:ascii="仿宋" w:hAnsi="仿宋" w:eastAsia="仿宋" w:cs="仿宋"/>
          <w:color w:val="000000"/>
          <w:szCs w:val="21"/>
          <w:highlight w:val="none"/>
          <w:lang w:val="en-US" w:eastAsia="zh-CN"/>
        </w:rPr>
        <w:t xml:space="preserve">30</w:t>
      </w:r>
      <w:r>
        <w:rPr>
          <w:rFonts w:hint="eastAsia" w:ascii="仿宋" w:hAnsi="仿宋" w:eastAsia="仿宋" w:cs="仿宋"/>
          <w:color w:val="000000"/>
          <w:szCs w:val="21"/>
          <w:highlight w:val="none"/>
        </w:rPr>
        <w:t xml:space="preserve">分（北京时间）。</w:t>
      </w:r>
      <w:r>
        <w:rPr>
          <w:rFonts w:hint="eastAsia" w:ascii="仿宋" w:hAnsi="仿宋" w:eastAsia="仿宋" w:cs="仿宋"/>
          <w:color w:val="000000"/>
          <w:szCs w:val="21"/>
          <w:highlight w:val="none"/>
        </w:rPr>
      </w:r>
      <w:r/>
    </w:p>
    <w:p>
      <w:pPr>
        <w:pStyle w:val="1032"/>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地点：“苏采云”政府采购一体化平台。</w:t>
      </w:r>
      <w:r>
        <w:rPr>
          <w:rFonts w:hint="eastAsia" w:ascii="仿宋" w:hAnsi="仿宋" w:eastAsia="仿宋" w:cs="仿宋"/>
          <w:b/>
          <w:bCs/>
          <w:color w:val="000000"/>
          <w:szCs w:val="21"/>
          <w:highlight w:val="none"/>
        </w:rPr>
      </w:r>
      <w:r/>
    </w:p>
    <w:p>
      <w:pPr>
        <w:pStyle w:val="1032"/>
        <w:spacing w:line="360" w:lineRule="auto"/>
        <w:tabs>
          <w:tab w:val="left" w:pos="900" w:leader="none"/>
          <w:tab w:val="left" w:pos="1134" w:leader="none"/>
          <w:tab w:val="left" w:pos="1589" w:leader="none"/>
          <w:tab w:val="left" w:pos="5521"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五、公告期限</w:t>
      </w:r>
      <w:r>
        <w:rPr>
          <w:rFonts w:hint="eastAsia" w:ascii="仿宋" w:hAnsi="仿宋" w:eastAsia="仿宋" w:cs="仿宋"/>
          <w:b/>
          <w:color w:val="000000"/>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本公告发布之日起5个工作日。</w:t>
      </w:r>
      <w:r>
        <w:rPr>
          <w:rFonts w:hint="eastAsia" w:ascii="仿宋" w:hAnsi="仿宋" w:eastAsia="仿宋" w:cs="仿宋"/>
          <w:bCs/>
          <w:color w:val="000000"/>
          <w:szCs w:val="21"/>
          <w:highlight w:val="none"/>
        </w:rPr>
      </w:r>
      <w:r/>
    </w:p>
    <w:p>
      <w:pPr>
        <w:pStyle w:val="1032"/>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
          <w:color w:val="000000"/>
          <w:szCs w:val="21"/>
          <w:highlight w:val="none"/>
        </w:rPr>
        <w:t xml:space="preserve">六、其他补充事宜</w:t>
      </w:r>
      <w:r>
        <w:rPr>
          <w:rFonts w:hint="eastAsia" w:ascii="仿宋" w:hAnsi="仿宋" w:eastAsia="仿宋" w:cs="仿宋"/>
          <w:bCs/>
          <w:color w:val="000000"/>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1.本项目需要落实的政府采购政策：无。 </w:t>
      </w:r>
      <w:r>
        <w:rPr>
          <w:rFonts w:hint="eastAsia" w:ascii="仿宋" w:hAnsi="仿宋" w:eastAsia="仿宋" w:cs="仿宋"/>
          <w:bCs/>
          <w:color w:val="000000"/>
          <w:szCs w:val="21"/>
          <w:highlight w:val="none"/>
        </w:rPr>
      </w:r>
      <w:r/>
    </w:p>
    <w:p>
      <w:pPr>
        <w:pStyle w:val="1032"/>
        <w:ind w:firstLine="422"/>
        <w:jc w:val="left"/>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2.根据省财政厅《关于</w:t>
      </w:r>
      <w:r>
        <w:rPr>
          <w:rFonts w:hint="eastAsia" w:ascii="仿宋" w:hAnsi="仿宋" w:eastAsia="仿宋" w:cs="仿宋"/>
          <w:b/>
          <w:bCs/>
          <w:color w:val="000000"/>
          <w:szCs w:val="21"/>
          <w:highlight w:val="none"/>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s="仿宋"/>
          <w:b/>
          <w:bCs/>
          <w:color w:val="000000"/>
          <w:szCs w:val="21"/>
          <w:highlight w:val="none"/>
        </w:rPr>
      </w:r>
      <w:r/>
    </w:p>
    <w:p>
      <w:pPr>
        <w:pStyle w:val="1032"/>
        <w:ind w:firstLine="422"/>
        <w:jc w:val="left"/>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s="仿宋"/>
          <w:b/>
          <w:bCs/>
          <w:color w:val="000000"/>
          <w:szCs w:val="21"/>
          <w:highlight w:val="none"/>
        </w:rPr>
      </w:r>
      <w:r/>
    </w:p>
    <w:p>
      <w:pPr>
        <w:pStyle w:val="1032"/>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3.本项目不满3家投标报名，将重新组织采购。</w:t>
      </w:r>
      <w:r>
        <w:rPr>
          <w:rFonts w:hint="eastAsia" w:ascii="仿宋" w:hAnsi="仿宋" w:eastAsia="仿宋" w:cs="仿宋"/>
          <w:color w:val="000000"/>
          <w:szCs w:val="21"/>
          <w:highlight w:val="none"/>
          <w:lang w:val="zh-TW"/>
        </w:rPr>
      </w:r>
      <w:r/>
    </w:p>
    <w:p>
      <w:pPr>
        <w:pStyle w:val="1032"/>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4.关于常州市中小企业政府采购信用融资：</w:t>
      </w:r>
      <w:r>
        <w:rPr>
          <w:rFonts w:hint="eastAsia" w:ascii="仿宋" w:hAnsi="仿宋" w:eastAsia="仿宋" w:cs="仿宋"/>
          <w:color w:val="000000"/>
          <w:szCs w:val="21"/>
          <w:highlight w:val="none"/>
          <w:lang w:val="zh-TW"/>
        </w:rPr>
      </w:r>
      <w:r/>
    </w:p>
    <w:p>
      <w:pPr>
        <w:pStyle w:val="1032"/>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rPr>
          <w:rFonts w:hint="eastAsia" w:ascii="仿宋" w:hAnsi="仿宋" w:eastAsia="仿宋" w:cs="仿宋"/>
          <w:color w:val="000000"/>
          <w:szCs w:val="21"/>
          <w:highlight w:val="none"/>
          <w:lang w:val="zh-TW"/>
        </w:rPr>
      </w:r>
      <w:r/>
    </w:p>
    <w:p>
      <w:pPr>
        <w:pStyle w:val="1032"/>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rPr>
        <w:t xml:space="preserve">5.</w:t>
      </w:r>
      <w:r>
        <w:rPr>
          <w:rFonts w:hint="eastAsia" w:ascii="仿宋" w:hAnsi="仿宋" w:eastAsia="仿宋" w:cs="仿宋"/>
          <w:color w:val="000000"/>
          <w:szCs w:val="21"/>
          <w:highlight w:val="none"/>
          <w:lang w:val="zh-TW"/>
        </w:rPr>
        <w:t xml:space="preserve">有关本次</w:t>
      </w:r>
      <w:r>
        <w:rPr>
          <w:rFonts w:hint="eastAsia" w:ascii="仿宋" w:hAnsi="仿宋" w:eastAsia="仿宋" w:cs="仿宋"/>
          <w:color w:val="000000"/>
          <w:szCs w:val="21"/>
          <w:highlight w:val="none"/>
        </w:rPr>
        <w:t xml:space="preserve">采购</w:t>
      </w:r>
      <w:r>
        <w:rPr>
          <w:rFonts w:hint="eastAsia" w:ascii="仿宋" w:hAnsi="仿宋" w:eastAsia="仿宋" w:cs="仿宋"/>
          <w:color w:val="000000"/>
          <w:szCs w:val="21"/>
          <w:highlight w:val="none"/>
          <w:lang w:val="zh-TW"/>
        </w:rPr>
        <w:t xml:space="preserve">的事项若存在变动或修改，敬请及时关注 “江苏政府采购网、常州市政府采购网”发布的更正公告。</w:t>
      </w:r>
      <w:r>
        <w:rPr>
          <w:rFonts w:hint="eastAsia" w:ascii="仿宋" w:hAnsi="仿宋" w:eastAsia="仿宋" w:cs="仿宋"/>
          <w:color w:val="000000"/>
          <w:szCs w:val="21"/>
          <w:highlight w:val="none"/>
          <w:lang w:val="zh-TW"/>
        </w:rPr>
      </w:r>
      <w:r/>
    </w:p>
    <w:p>
      <w:pPr>
        <w:pStyle w:val="1032"/>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6.特别说明：因工作需要，本次采购项目涉及的单位及个人相关信息已经取得机构或本人同意后对外公布。</w:t>
      </w:r>
      <w:r>
        <w:rPr>
          <w:rFonts w:hint="eastAsia" w:ascii="仿宋" w:hAnsi="仿宋" w:eastAsia="仿宋" w:cs="仿宋"/>
          <w:color w:val="000000"/>
          <w:szCs w:val="21"/>
          <w:highlight w:val="none"/>
          <w:lang w:val="zh-TW"/>
        </w:rPr>
      </w:r>
      <w:r/>
    </w:p>
    <w:p>
      <w:pPr>
        <w:pStyle w:val="1032"/>
        <w:contextualSpacing/>
        <w:jc w:val="left"/>
        <w:spacing w:line="360" w:lineRule="auto"/>
        <w:widowControl/>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rPr>
        <w:t xml:space="preserve">七、对本次招标提出询问，请按以下方式联系。</w:t>
      </w:r>
      <w:bookmarkEnd w:id="9"/>
      <w:r/>
      <w:bookmarkEnd w:id="19"/>
      <w:r/>
      <w:bookmarkEnd w:id="20"/>
      <w:r/>
      <w:bookmarkEnd w:id="21"/>
      <w:r/>
      <w:bookmarkEnd w:id="22"/>
      <w:r>
        <w:rPr>
          <w:rFonts w:hint="eastAsia" w:ascii="仿宋" w:hAnsi="仿宋" w:eastAsia="仿宋" w:cs="仿宋"/>
          <w:b/>
          <w:bCs/>
          <w:color w:val="000000"/>
          <w:szCs w:val="21"/>
          <w:highlight w:val="none"/>
          <w:lang w:bidi="ar"/>
        </w:rPr>
      </w:r>
      <w:r/>
    </w:p>
    <w:p>
      <w:pPr>
        <w:pStyle w:val="1054"/>
        <w:spacing w:line="360" w:lineRule="auto"/>
        <w:shd w:val="clear" w:color="auto" w:fill="ffffff"/>
        <w:rPr>
          <w:rFonts w:hint="eastAsia" w:ascii="仿宋" w:hAnsi="仿宋" w:eastAsia="仿宋" w:cs="仿宋"/>
          <w:bCs/>
          <w:color w:val="000000"/>
          <w:sz w:val="21"/>
          <w:szCs w:val="21"/>
          <w:highlight w:val="none"/>
        </w:rPr>
      </w:pPr>
      <w:r/>
      <w:bookmarkStart w:id="23" w:name="_Hlk118382401"/>
      <w:r/>
      <w:bookmarkStart w:id="24" w:name="_Toc127161488"/>
      <w:r/>
      <w:bookmarkStart w:id="25" w:name="_Toc353825548"/>
      <w:r/>
      <w:bookmarkStart w:id="26" w:name="_Toc264969275"/>
      <w:r/>
      <w:bookmarkStart w:id="27" w:name="_Toc305158928"/>
      <w:r/>
      <w:bookmarkStart w:id="28" w:name="_Toc512937850"/>
      <w:r/>
      <w:bookmarkStart w:id="29" w:name="_Toc226965856"/>
      <w:r/>
      <w:bookmarkStart w:id="30" w:name="_Toc127151777"/>
      <w:r/>
      <w:bookmarkStart w:id="31" w:name="_Toc195842950"/>
      <w:r/>
      <w:bookmarkStart w:id="32" w:name="_Toc265228423"/>
      <w:r/>
      <w:bookmarkStart w:id="33" w:name="_Toc305158854"/>
      <w:r/>
      <w:bookmarkStart w:id="34" w:name="_Toc150774783"/>
      <w:r/>
      <w:bookmarkStart w:id="35" w:name="_Toc353873938"/>
      <w:r>
        <w:rPr>
          <w:rFonts w:hint="eastAsia" w:ascii="仿宋" w:hAnsi="仿宋" w:eastAsia="仿宋" w:cs="仿宋"/>
          <w:bCs/>
          <w:color w:val="000000"/>
          <w:sz w:val="21"/>
          <w:szCs w:val="21"/>
          <w:highlight w:val="none"/>
        </w:rPr>
        <w:t xml:space="preserve">1.采购人信息</w:t>
      </w:r>
      <w:r>
        <w:rPr>
          <w:rFonts w:hint="eastAsia" w:ascii="仿宋" w:hAnsi="仿宋" w:eastAsia="仿宋" w:cs="仿宋"/>
          <w:bCs/>
          <w:color w:val="000000"/>
          <w:sz w:val="21"/>
          <w:szCs w:val="21"/>
          <w:highlight w:val="none"/>
        </w:rPr>
      </w:r>
      <w:r/>
    </w:p>
    <w:p>
      <w:pPr>
        <w:pStyle w:val="1054"/>
        <w:spacing w:line="360" w:lineRule="auto"/>
        <w:shd w:val="clear" w:color="auto" w:fill="ffffff"/>
        <w:rPr>
          <w:rFonts w:hint="eastAsia" w:ascii="仿宋" w:hAnsi="仿宋" w:eastAsia="仿宋" w:cs="仿宋"/>
          <w:bCs/>
          <w:color w:val="000000"/>
          <w:sz w:val="21"/>
          <w:szCs w:val="21"/>
          <w:highlight w:val="none"/>
          <w:lang w:eastAsia="zh-CN"/>
        </w:rPr>
      </w:pPr>
      <w:r>
        <w:rPr>
          <w:rFonts w:hint="eastAsia" w:ascii="仿宋" w:hAnsi="仿宋" w:eastAsia="仿宋" w:cs="仿宋"/>
          <w:bCs/>
          <w:color w:val="000000"/>
          <w:sz w:val="21"/>
          <w:szCs w:val="21"/>
          <w:highlight w:val="none"/>
        </w:rPr>
        <w:t xml:space="preserve">名   称：</w:t>
      </w:r>
      <w:r>
        <w:rPr>
          <w:rFonts w:hint="eastAsia" w:ascii="仿宋" w:hAnsi="仿宋" w:eastAsia="仿宋" w:cs="仿宋"/>
          <w:bCs/>
          <w:color w:val="000000"/>
          <w:sz w:val="21"/>
          <w:szCs w:val="21"/>
          <w:highlight w:val="none"/>
          <w:lang w:eastAsia="zh-CN"/>
        </w:rPr>
        <w:t xml:space="preserve">常州市钟楼区五星街道社区卫生服务中心</w:t>
      </w:r>
      <w:r>
        <w:rPr>
          <w:rFonts w:hint="eastAsia" w:ascii="仿宋" w:hAnsi="仿宋" w:eastAsia="仿宋" w:cs="仿宋"/>
          <w:bCs/>
          <w:color w:val="000000"/>
          <w:sz w:val="21"/>
          <w:szCs w:val="21"/>
          <w:highlight w:val="none"/>
          <w:lang w:eastAsia="zh-CN"/>
        </w:rPr>
      </w:r>
      <w:r/>
    </w:p>
    <w:p>
      <w:pPr>
        <w:pStyle w:val="1032"/>
        <w:contextualSpacing/>
        <w:ind w:firstLine="420"/>
        <w:jc w:val="left"/>
        <w:keepLines w:val="0"/>
        <w:keepNext w:val="0"/>
        <w:pageBreakBefore w:val="0"/>
        <w:spacing w:line="360" w:lineRule="auto"/>
        <w:shd w:val="clear" w:color="auto" w:fill="ffffff"/>
        <w:tabs>
          <w:tab w:val="left" w:pos="567" w:leader="none"/>
        </w:tabs>
        <w:rPr>
          <w:rFonts w:hint="eastAsia" w:ascii="仿宋" w:hAnsi="仿宋" w:eastAsia="仿宋" w:cs="仿宋"/>
          <w:bCs/>
          <w:color w:val="000000"/>
          <w:sz w:val="21"/>
          <w:szCs w:val="21"/>
          <w:highlight w:val="none"/>
        </w:rPr>
      </w:pPr>
      <w:r/>
      <w:bookmarkEnd w:id="23"/>
      <w:r>
        <w:rPr>
          <w:rFonts w:hint="eastAsia" w:ascii="仿宋" w:hAnsi="仿宋" w:eastAsia="仿宋" w:cs="仿宋"/>
          <w:bCs/>
          <w:color w:val="000000"/>
          <w:sz w:val="21"/>
          <w:szCs w:val="21"/>
          <w:highlight w:val="none"/>
        </w:rPr>
        <w:t xml:space="preserve">地   址：</w:t>
      </w:r>
      <w:r>
        <w:rPr>
          <w:rFonts w:hint="eastAsia" w:ascii="仿宋" w:hAnsi="仿宋" w:eastAsia="仿宋" w:cs="仿宋"/>
          <w:bCs/>
          <w:color w:val="000000"/>
          <w:sz w:val="21"/>
          <w:szCs w:val="21"/>
          <w:highlight w:val="none"/>
          <w:lang w:eastAsia="zh-CN"/>
        </w:rPr>
        <w:t xml:space="preserve">常州市关河西路282号 </w:t>
      </w:r>
      <w:r>
        <w:rPr>
          <w:rFonts w:hint="eastAsia" w:ascii="仿宋" w:hAnsi="仿宋" w:eastAsia="仿宋" w:cs="仿宋"/>
          <w:bCs/>
          <w:color w:val="000000"/>
          <w:sz w:val="21"/>
          <w:szCs w:val="21"/>
          <w:highlight w:val="none"/>
        </w:rPr>
        <w:t xml:space="preserve"> </w:t>
      </w:r>
      <w:r>
        <w:rPr>
          <w:rFonts w:hint="eastAsia" w:ascii="仿宋" w:hAnsi="仿宋" w:eastAsia="仿宋" w:cs="仿宋"/>
          <w:bCs/>
          <w:color w:val="000000"/>
          <w:sz w:val="21"/>
          <w:szCs w:val="21"/>
          <w:highlight w:val="none"/>
        </w:rPr>
      </w:r>
      <w:r/>
    </w:p>
    <w:p>
      <w:pPr>
        <w:pStyle w:val="1054"/>
        <w:spacing w:line="360" w:lineRule="auto"/>
        <w:shd w:val="clear" w:color="auto" w:fill="ffffff"/>
        <w:rPr>
          <w:rFonts w:hint="eastAsia" w:ascii="仿宋" w:hAnsi="仿宋" w:eastAsia="仿宋" w:cs="仿宋"/>
          <w:color w:val="000000"/>
          <w:sz w:val="21"/>
          <w:szCs w:val="21"/>
          <w:highlight w:val="none"/>
          <w:lang w:eastAsia="zh-CN"/>
        </w:rPr>
      </w:pPr>
      <w:r>
        <w:rPr>
          <w:rFonts w:hint="eastAsia" w:ascii="仿宋" w:hAnsi="仿宋" w:eastAsia="仿宋" w:cs="仿宋"/>
          <w:bCs/>
          <w:color w:val="000000"/>
          <w:sz w:val="21"/>
          <w:szCs w:val="21"/>
          <w:highlight w:val="none"/>
        </w:rPr>
        <w:t xml:space="preserve">联系方式：</w:t>
      </w:r>
      <w:r>
        <w:rPr>
          <w:rFonts w:hint="eastAsia" w:ascii="仿宋" w:hAnsi="仿宋" w:eastAsia="仿宋" w:cs="仿宋"/>
          <w:bCs/>
          <w:color w:val="000000"/>
          <w:sz w:val="21"/>
          <w:szCs w:val="21"/>
          <w:highlight w:val="none"/>
          <w:lang w:eastAsia="zh-CN"/>
        </w:rPr>
        <w:t xml:space="preserve">0519-83811202</w:t>
      </w:r>
      <w:r>
        <w:rPr>
          <w:rFonts w:hint="eastAsia" w:ascii="仿宋" w:hAnsi="仿宋" w:eastAsia="仿宋" w:cs="仿宋"/>
          <w:bCs/>
          <w:color w:val="000000"/>
          <w:sz w:val="21"/>
          <w:szCs w:val="21"/>
          <w:highlight w:val="none"/>
        </w:rPr>
        <w:t xml:space="preserve"> </w:t>
      </w:r>
      <w:r>
        <w:rPr>
          <w:rFonts w:hint="eastAsia" w:ascii="仿宋" w:hAnsi="仿宋" w:eastAsia="仿宋" w:cs="仿宋"/>
          <w:color w:val="000000"/>
          <w:sz w:val="21"/>
          <w:szCs w:val="21"/>
          <w:highlight w:val="none"/>
          <w:lang w:eastAsia="zh-CN"/>
        </w:rPr>
      </w:r>
      <w:r/>
    </w:p>
    <w:p>
      <w:pPr>
        <w:pStyle w:val="1054"/>
        <w:spacing w:line="360" w:lineRule="auto"/>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联系人：</w:t>
      </w:r>
      <w:r>
        <w:rPr>
          <w:rFonts w:hint="eastAsia" w:ascii="仿宋" w:hAnsi="仿宋" w:eastAsia="仿宋" w:cs="仿宋"/>
          <w:color w:val="000000"/>
          <w:sz w:val="21"/>
          <w:szCs w:val="21"/>
          <w:highlight w:val="none"/>
          <w:lang w:val="en-US" w:eastAsia="zh-CN"/>
        </w:rPr>
        <w:t xml:space="preserve">徐女士</w:t>
      </w:r>
      <w:r>
        <w:rPr>
          <w:rFonts w:hint="eastAsia" w:ascii="仿宋" w:hAnsi="仿宋" w:eastAsia="仿宋" w:cs="仿宋"/>
          <w:color w:val="000000"/>
          <w:sz w:val="21"/>
          <w:szCs w:val="21"/>
          <w:highlight w:val="none"/>
          <w:lang w:val="en-US" w:eastAsia="zh-CN"/>
        </w:rPr>
      </w:r>
      <w:r/>
    </w:p>
    <w:p>
      <w:pPr>
        <w:pStyle w:val="1032"/>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2.采购代理机构信息</w:t>
      </w:r>
      <w:r>
        <w:rPr>
          <w:rFonts w:hint="eastAsia" w:ascii="仿宋" w:hAnsi="仿宋" w:eastAsia="仿宋" w:cs="仿宋"/>
          <w:color w:val="000000"/>
          <w:szCs w:val="21"/>
          <w:highlight w:val="none"/>
          <w:lang w:val="zh-TW" w:bidi="ar"/>
        </w:rPr>
      </w:r>
      <w:r/>
    </w:p>
    <w:p>
      <w:pPr>
        <w:pStyle w:val="1032"/>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名  称：江苏城建校工程咨询有限公司</w:t>
      </w:r>
      <w:r>
        <w:rPr>
          <w:rFonts w:hint="eastAsia" w:ascii="仿宋" w:hAnsi="仿宋" w:eastAsia="仿宋" w:cs="仿宋"/>
          <w:color w:val="000000"/>
          <w:szCs w:val="21"/>
          <w:highlight w:val="none"/>
          <w:lang w:val="zh-TW" w:bidi="ar"/>
        </w:rPr>
      </w:r>
      <w:r/>
    </w:p>
    <w:p>
      <w:pPr>
        <w:pStyle w:val="1032"/>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地　址：常州市清潭路85-2号</w:t>
      </w:r>
      <w:r>
        <w:rPr>
          <w:rFonts w:hint="eastAsia" w:ascii="仿宋" w:hAnsi="仿宋" w:eastAsia="仿宋" w:cs="仿宋"/>
          <w:color w:val="000000"/>
          <w:szCs w:val="21"/>
          <w:highlight w:val="none"/>
          <w:lang w:val="zh-TW" w:bidi="ar"/>
        </w:rPr>
      </w:r>
      <w:r/>
    </w:p>
    <w:p>
      <w:pPr>
        <w:pStyle w:val="1054"/>
        <w:spacing w:line="360" w:lineRule="auto"/>
        <w:shd w:val="clear" w:color="auto" w:fill="ffff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联系方式：19906113189、0519-86908235-8305</w:t>
      </w:r>
      <w:r>
        <w:rPr>
          <w:rFonts w:hint="eastAsia" w:ascii="仿宋" w:hAnsi="仿宋" w:eastAsia="仿宋" w:cs="仿宋"/>
          <w:bCs/>
          <w:color w:val="000000"/>
          <w:sz w:val="21"/>
          <w:szCs w:val="21"/>
          <w:highlight w:val="none"/>
        </w:rPr>
      </w:r>
      <w:r/>
    </w:p>
    <w:p>
      <w:pPr>
        <w:pStyle w:val="1054"/>
        <w:spacing w:line="360" w:lineRule="auto"/>
        <w:shd w:val="clear" w:color="auto" w:fill="ffff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邮  箱：jscjxzb@163.com  　</w:t>
      </w:r>
      <w:r>
        <w:rPr>
          <w:rFonts w:hint="eastAsia" w:ascii="仿宋" w:hAnsi="仿宋" w:eastAsia="仿宋" w:cs="仿宋"/>
          <w:bCs/>
          <w:color w:val="000000"/>
          <w:sz w:val="21"/>
          <w:szCs w:val="21"/>
          <w:highlight w:val="none"/>
        </w:rPr>
      </w:r>
      <w:r/>
    </w:p>
    <w:p>
      <w:pPr>
        <w:pStyle w:val="1054"/>
        <w:spacing w:line="360" w:lineRule="auto"/>
        <w:shd w:val="clear" w:color="auto" w:fill="ffffff"/>
        <w:rPr>
          <w:rFonts w:hint="eastAsia" w:ascii="仿宋" w:hAnsi="仿宋" w:eastAsia="仿宋" w:cs="仿宋"/>
          <w:bCs/>
          <w:color w:val="000000"/>
          <w:sz w:val="21"/>
          <w:szCs w:val="21"/>
          <w:highlight w:val="none"/>
        </w:rPr>
      </w:pPr>
      <w:r/>
      <w:bookmarkStart w:id="36" w:name="_Toc63761646"/>
      <w:r/>
      <w:bookmarkStart w:id="37" w:name="_Toc35393639"/>
      <w:r/>
      <w:bookmarkStart w:id="38" w:name="_Toc28359098"/>
      <w:r/>
      <w:bookmarkStart w:id="39" w:name="_Toc28359021"/>
      <w:r/>
      <w:bookmarkStart w:id="40" w:name="_Toc35393808"/>
      <w:r/>
      <w:bookmarkStart w:id="41" w:name="_Toc45235310"/>
      <w:r/>
      <w:bookmarkStart w:id="42" w:name="_Toc63761585"/>
      <w:r/>
      <w:bookmarkStart w:id="43" w:name="_Toc45235156"/>
      <w:r>
        <w:rPr>
          <w:rFonts w:hint="eastAsia" w:ascii="仿宋" w:hAnsi="仿宋" w:eastAsia="仿宋" w:cs="仿宋"/>
          <w:bCs/>
          <w:color w:val="000000"/>
          <w:sz w:val="21"/>
          <w:szCs w:val="21"/>
          <w:highlight w:val="none"/>
        </w:rPr>
        <w:t xml:space="preserve">3.项目联系方式</w:t>
      </w:r>
      <w:bookmarkEnd w:id="36"/>
      <w:r/>
      <w:bookmarkEnd w:id="37"/>
      <w:r/>
      <w:bookmarkEnd w:id="38"/>
      <w:r/>
      <w:bookmarkEnd w:id="39"/>
      <w:r/>
      <w:bookmarkEnd w:id="40"/>
      <w:r/>
      <w:bookmarkEnd w:id="41"/>
      <w:r/>
      <w:bookmarkEnd w:id="42"/>
      <w:r/>
      <w:bookmarkEnd w:id="43"/>
      <w:r>
        <w:rPr>
          <w:rFonts w:hint="eastAsia" w:ascii="仿宋" w:hAnsi="仿宋" w:eastAsia="仿宋" w:cs="仿宋"/>
          <w:bCs/>
          <w:color w:val="000000"/>
          <w:sz w:val="21"/>
          <w:szCs w:val="21"/>
          <w:highlight w:val="none"/>
        </w:rPr>
      </w:r>
      <w:r/>
    </w:p>
    <w:p>
      <w:pPr>
        <w:pStyle w:val="1054"/>
        <w:spacing w:line="360" w:lineRule="auto"/>
        <w:shd w:val="clear" w:color="auto" w:fill="ffff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项目联系人：姜工</w:t>
      </w:r>
      <w:r>
        <w:rPr>
          <w:rFonts w:hint="eastAsia" w:ascii="仿宋" w:hAnsi="仿宋" w:eastAsia="仿宋" w:cs="仿宋"/>
          <w:bCs/>
          <w:color w:val="000000"/>
          <w:sz w:val="21"/>
          <w:szCs w:val="21"/>
          <w:highlight w:val="none"/>
        </w:rPr>
      </w:r>
      <w:r/>
    </w:p>
    <w:p>
      <w:pPr>
        <w:pStyle w:val="1032"/>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bCs/>
          <w:color w:val="000000"/>
          <w:sz w:val="21"/>
          <w:szCs w:val="21"/>
          <w:highlight w:val="none"/>
        </w:rPr>
        <w:t xml:space="preserve">电　　 话：19906113189</w:t>
      </w:r>
      <w:r>
        <w:rPr>
          <w:rFonts w:hint="eastAsia" w:ascii="仿宋" w:hAnsi="仿宋" w:eastAsia="仿宋" w:cs="仿宋"/>
          <w:color w:val="000000"/>
          <w:szCs w:val="21"/>
          <w:highlight w:val="none"/>
          <w:lang w:val="zh-TW" w:bidi="ar"/>
        </w:rPr>
      </w:r>
      <w:r/>
    </w:p>
    <w:p>
      <w:pPr>
        <w:pStyle w:val="1032"/>
        <w:contextualSpacing/>
        <w:ind w:firstLine="420"/>
        <w:jc w:val="center"/>
        <w:spacing w:line="360" w:lineRule="auto"/>
        <w:widowControl/>
        <w:rPr>
          <w:rStyle w:val="1217"/>
          <w:rFonts w:hint="eastAsia" w:ascii="仿宋" w:hAnsi="仿宋" w:eastAsia="仿宋" w:cs="仿宋"/>
          <w:color w:val="000000"/>
          <w:highlight w:val="none"/>
        </w:rPr>
      </w:pPr>
      <w:r>
        <w:rPr>
          <w:rFonts w:hint="eastAsia" w:ascii="仿宋" w:hAnsi="仿宋" w:eastAsia="仿宋" w:cs="仿宋"/>
          <w:color w:val="000000"/>
          <w:szCs w:val="21"/>
          <w:highlight w:val="none"/>
          <w:lang w:val="zh-TW" w:bidi="ar"/>
        </w:rPr>
        <w:br w:type="page" w:clear="all"/>
      </w:r>
      <w:bookmarkEnd w:id="10"/>
      <w:r/>
      <w:bookmarkStart w:id="44" w:name="_Toc12010"/>
      <w:r>
        <w:rPr>
          <w:rStyle w:val="1217"/>
          <w:rFonts w:hint="eastAsia" w:ascii="仿宋" w:hAnsi="仿宋" w:eastAsia="仿宋" w:cs="仿宋"/>
          <w:color w:val="000000"/>
          <w:highlight w:val="none"/>
        </w:rPr>
        <w:t xml:space="preserve">第二章   供应商须知</w:t>
      </w:r>
      <w:bookmarkEnd w:id="24"/>
      <w:r/>
      <w:bookmarkEnd w:id="25"/>
      <w:r/>
      <w:bookmarkEnd w:id="26"/>
      <w:r/>
      <w:bookmarkEnd w:id="27"/>
      <w:r/>
      <w:bookmarkEnd w:id="28"/>
      <w:r/>
      <w:bookmarkEnd w:id="29"/>
      <w:r/>
      <w:bookmarkEnd w:id="30"/>
      <w:r/>
      <w:bookmarkEnd w:id="31"/>
      <w:r/>
      <w:bookmarkEnd w:id="32"/>
      <w:r/>
      <w:bookmarkEnd w:id="33"/>
      <w:r/>
      <w:bookmarkEnd w:id="34"/>
      <w:r/>
      <w:bookmarkEnd w:id="35"/>
      <w:r>
        <w:rPr>
          <w:rStyle w:val="1217"/>
          <w:rFonts w:hint="eastAsia" w:ascii="仿宋" w:hAnsi="仿宋" w:eastAsia="仿宋" w:cs="仿宋"/>
          <w:color w:val="000000"/>
          <w:highlight w:val="none"/>
        </w:rPr>
      </w:r>
      <w:r/>
    </w:p>
    <w:p>
      <w:pPr>
        <w:pStyle w:val="1218"/>
        <w:spacing w:before="0" w:line="360" w:lineRule="auto"/>
        <w:tabs>
          <w:tab w:val="center" w:pos="4592" w:leader="none"/>
          <w:tab w:val="left" w:pos="7860" w:leader="none"/>
        </w:tabs>
        <w:rPr>
          <w:rFonts w:hint="eastAsia" w:ascii="仿宋" w:hAnsi="仿宋" w:eastAsia="仿宋" w:cs="仿宋"/>
          <w:color w:val="000000"/>
          <w:sz w:val="28"/>
          <w:highlight w:val="none"/>
        </w:rPr>
      </w:pPr>
      <w:r/>
      <w:bookmarkEnd w:id="44"/>
      <w:r/>
      <w:bookmarkStart w:id="45" w:name="_Toc226337215"/>
      <w:r/>
      <w:bookmarkStart w:id="46" w:name="_Toc150774724"/>
      <w:r/>
      <w:bookmarkStart w:id="47" w:name="_Toc151193907"/>
      <w:r/>
      <w:bookmarkStart w:id="48" w:name="_Toc195842884"/>
      <w:r/>
      <w:bookmarkStart w:id="49" w:name="_Toc127151720"/>
      <w:r/>
      <w:bookmarkStart w:id="50" w:name="_Toc151193833"/>
      <w:r/>
      <w:bookmarkStart w:id="51" w:name="_Toc164608633"/>
      <w:r/>
      <w:bookmarkStart w:id="52" w:name="_Toc151193617"/>
      <w:r/>
      <w:bookmarkStart w:id="53" w:name="_Toc164229214"/>
      <w:r/>
      <w:bookmarkStart w:id="54" w:name="_Toc164351613"/>
      <w:r/>
      <w:bookmarkStart w:id="55" w:name="_Toc149720812"/>
      <w:r/>
      <w:bookmarkStart w:id="56" w:name="_Toc150480757"/>
      <w:r/>
      <w:bookmarkStart w:id="57" w:name="_Toc150509270"/>
      <w:r/>
      <w:bookmarkStart w:id="58" w:name="_Toc150774619"/>
      <w:r/>
      <w:bookmarkStart w:id="59" w:name="_Toc151190146"/>
      <w:r/>
      <w:bookmarkStart w:id="60" w:name="_Toc127151519"/>
      <w:r/>
      <w:bookmarkStart w:id="61" w:name="_Toc151193689"/>
      <w:r/>
      <w:bookmarkStart w:id="62" w:name="_Toc164608788"/>
      <w:r/>
      <w:bookmarkStart w:id="63" w:name="_Toc226965709"/>
      <w:r/>
      <w:bookmarkStart w:id="64" w:name="_Toc520356144"/>
      <w:r/>
      <w:bookmarkStart w:id="65" w:name="_Toc142311021"/>
      <w:r/>
      <w:bookmarkStart w:id="66" w:name="_Toc164229360"/>
      <w:r/>
      <w:bookmarkStart w:id="67" w:name="_Toc127161433"/>
      <w:r/>
      <w:bookmarkStart w:id="68" w:name="_Toc226309763"/>
      <w:r/>
      <w:bookmarkStart w:id="69" w:name="_Toc151193761"/>
      <w:r/>
      <w:bookmarkStart w:id="70" w:name="_Toc226965792"/>
      <w:r>
        <w:rPr>
          <w:rFonts w:hint="eastAsia" w:ascii="仿宋" w:hAnsi="仿宋" w:eastAsia="仿宋" w:cs="仿宋"/>
          <w:color w:val="000000"/>
          <w:sz w:val="28"/>
          <w:highlight w:val="none"/>
        </w:rPr>
        <w:t xml:space="preserve">供应商须知资料表</w:t>
      </w:r>
      <w:r>
        <w:rPr>
          <w:rFonts w:hint="eastAsia" w:ascii="仿宋" w:hAnsi="仿宋" w:eastAsia="仿宋" w:cs="仿宋"/>
          <w:color w:val="000000"/>
          <w:sz w:val="28"/>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本表是对供应商须知的具体补充和修改，如有矛盾，均以本资料表为准。</w:t>
      </w:r>
      <w:r>
        <w:rPr>
          <w:rFonts w:hint="eastAsia" w:ascii="仿宋" w:hAnsi="仿宋" w:eastAsia="仿宋" w:cs="仿宋"/>
          <w:color w:val="000000"/>
          <w:szCs w:val="21"/>
          <w:highlight w:val="none"/>
        </w:rPr>
      </w:r>
      <w:r/>
    </w:p>
    <w:tbl>
      <w:tblPr>
        <w:tblW w:w="92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32"/>
      </w:tblGrid>
      <w:tr>
        <w:trPr>
          <w:trHeight w:val="594"/>
          <w:tblHeader/>
        </w:trPr>
        <w:tc>
          <w:tcPr>
            <w:tcW w:w="988" w:type="dxa"/>
            <w:vAlign w:val="center"/>
            <w:textDirection w:val="lrTb"/>
            <w:noWrap w:val="false"/>
          </w:tcPr>
          <w:p>
            <w:pPr>
              <w:pStyle w:val="1032"/>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color w:val="000000"/>
                <w:szCs w:val="21"/>
                <w:highlight w:val="none"/>
              </w:rPr>
              <w:t xml:space="preserve">条款号</w:t>
            </w:r>
            <w:r>
              <w:rPr>
                <w:rFonts w:hint="eastAsia" w:ascii="仿宋" w:hAnsi="仿宋" w:eastAsia="仿宋" w:cs="仿宋"/>
                <w:b/>
                <w:bCs/>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条  目</w:t>
            </w:r>
            <w:r>
              <w:rPr>
                <w:rFonts w:hint="eastAsia" w:ascii="仿宋" w:hAnsi="仿宋" w:eastAsia="仿宋" w:cs="仿宋"/>
                <w:b/>
                <w:bCs/>
                <w:color w:val="000000"/>
                <w:szCs w:val="21"/>
                <w:highlight w:val="none"/>
              </w:rPr>
            </w:r>
            <w:r/>
          </w:p>
        </w:tc>
        <w:tc>
          <w:tcPr>
            <w:tcW w:w="6532" w:type="dxa"/>
            <w:vAlign w:val="center"/>
            <w:textDirection w:val="lrTb"/>
            <w:noWrap w:val="false"/>
          </w:tcPr>
          <w:p>
            <w:pPr>
              <w:pStyle w:val="1032"/>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内     容</w:t>
            </w:r>
            <w:r>
              <w:rPr>
                <w:rFonts w:hint="eastAsia" w:ascii="仿宋" w:hAnsi="仿宋" w:eastAsia="仿宋" w:cs="仿宋"/>
                <w:b/>
                <w:bCs/>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2.2</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项目属性</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项目属性：</w:t>
            </w:r>
            <w:r>
              <w:rPr>
                <w:rFonts w:hint="eastAsia" w:ascii="仿宋" w:hAnsi="仿宋" w:eastAsia="仿宋" w:cs="仿宋"/>
                <w:color w:val="000000"/>
                <w:szCs w:val="21"/>
                <w:highlight w:val="none"/>
                <w:lang w:val="en-US" w:eastAsia="zh-CN"/>
              </w:rPr>
              <w:t xml:space="preserve">服务</w:t>
            </w:r>
            <w:r>
              <w:rPr>
                <w:rFonts w:hint="eastAsia" w:ascii="仿宋" w:hAnsi="仿宋" w:eastAsia="仿宋" w:cs="仿宋"/>
                <w:color w:val="000000"/>
                <w:szCs w:val="21"/>
                <w:highlight w:val="none"/>
                <w:u w:val="singl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2.3</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科研仪器设备</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是否属于科研仪器设备采购项目：否</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54"/>
              <w:jc w:val="center"/>
              <w:rPr>
                <w:rFonts w:ascii="仿宋" w:hAnsi="仿宋" w:eastAsia="仿宋" w:cs="仿宋"/>
                <w:color w:val="000000"/>
                <w:szCs w:val="21"/>
                <w:highlight w:val="none"/>
              </w:rPr>
            </w:pPr>
            <w:r>
              <w:rPr>
                <w:rFonts w:ascii="仿宋" w:hAnsi="仿宋" w:eastAsia="仿宋" w:cs="仿宋"/>
                <w:color w:val="000000"/>
                <w:szCs w:val="21"/>
                <w:highlight w:val="none"/>
              </w:rPr>
              <w:t xml:space="preserve">2.4</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核心产品</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w:t>
            </w:r>
            <w:r>
              <w:rPr>
                <w:rFonts w:ascii="仿宋" w:hAnsi="仿宋" w:eastAsia="仿宋" w:cs="仿宋"/>
                <w:color w:val="000000"/>
                <w:szCs w:val="21"/>
                <w:highlight w:val="none"/>
                <w:lang w:val="en-US" w:eastAsia="zh-CN"/>
              </w:rPr>
            </w:r>
            <w:r/>
          </w:p>
        </w:tc>
      </w:tr>
      <w:tr>
        <w:trPr>
          <w:trHeight w:val="20"/>
        </w:trPr>
        <w:tc>
          <w:tcPr>
            <w:tcW w:w="988" w:type="dxa"/>
            <w:vAlign w:val="center"/>
            <w:vMerge w:val="restart"/>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3.1</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现场考察</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不组织</w:t>
            </w:r>
            <w:r>
              <w:rPr>
                <w:rFonts w:hint="eastAsia" w:ascii="仿宋" w:hAnsi="仿宋" w:eastAsia="仿宋" w:cs="仿宋"/>
                <w:color w:val="000000"/>
                <w:szCs w:val="21"/>
                <w:highlight w:val="none"/>
              </w:rPr>
            </w:r>
            <w:r/>
          </w:p>
        </w:tc>
      </w:tr>
      <w:tr>
        <w:trPr>
          <w:trHeight w:val="20"/>
        </w:trPr>
        <w:tc>
          <w:tcPr>
            <w:tcW w:w="988" w:type="dxa"/>
            <w:vAlign w:val="center"/>
            <w:vMerge w:val="continue"/>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开标前答疑会</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不召开</w:t>
            </w:r>
            <w:r>
              <w:rPr>
                <w:rFonts w:hint="eastAsia" w:ascii="仿宋" w:hAnsi="仿宋" w:eastAsia="仿宋" w:cs="仿宋"/>
                <w:color w:val="000000"/>
                <w:szCs w:val="21"/>
                <w:highlight w:val="none"/>
              </w:rPr>
            </w:r>
            <w:r/>
          </w:p>
        </w:tc>
      </w:tr>
      <w:tr>
        <w:trPr>
          <w:trHeight w:val="407"/>
        </w:trPr>
        <w:tc>
          <w:tcPr>
            <w:tcW w:w="988" w:type="dxa"/>
            <w:vAlign w:val="center"/>
            <w:textDirection w:val="lrTb"/>
            <w:noWrap w:val="false"/>
          </w:tcPr>
          <w:p>
            <w:pPr>
              <w:pStyle w:val="1254"/>
              <w:jc w:val="center"/>
              <w:rPr>
                <w:rFonts w:ascii="仿宋" w:hAnsi="仿宋" w:eastAsia="仿宋" w:cs="仿宋"/>
                <w:color w:val="000000"/>
                <w:szCs w:val="21"/>
                <w:highlight w:val="none"/>
              </w:rPr>
            </w:pPr>
            <w:r>
              <w:rPr>
                <w:rFonts w:ascii="仿宋" w:hAnsi="仿宋" w:eastAsia="仿宋" w:cs="仿宋"/>
                <w:color w:val="000000"/>
                <w:szCs w:val="21"/>
                <w:highlight w:val="none"/>
              </w:rPr>
              <w:t xml:space="preserve">4.1</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样品</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投标样品递交：不需要</w:t>
            </w:r>
            <w:r>
              <w:rPr>
                <w:rFonts w:hint="eastAsia" w:ascii="仿宋" w:hAnsi="仿宋" w:eastAsia="仿宋" w:cs="仿宋"/>
                <w:color w:val="000000"/>
                <w:szCs w:val="21"/>
                <w:highlight w:val="none"/>
              </w:rPr>
            </w:r>
            <w:r/>
          </w:p>
        </w:tc>
      </w:tr>
      <w:tr>
        <w:trPr>
          <w:trHeight w:val="412"/>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5.2.5</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标的所属行业</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本项目采购标的对应的中小企业划分标准所属行业：</w:t>
            </w:r>
            <w:r>
              <w:rPr>
                <w:rFonts w:hint="eastAsia" w:ascii="仿宋" w:hAnsi="仿宋" w:eastAsia="仿宋" w:cs="仿宋"/>
                <w:b/>
                <w:bCs/>
                <w:color w:val="000000"/>
                <w:szCs w:val="21"/>
                <w:highlight w:val="none"/>
                <w:u w:val="single"/>
                <w:lang w:val="en-US" w:eastAsia="zh-CN"/>
              </w:rPr>
              <w:t xml:space="preserve">餐饮业</w:t>
            </w:r>
            <w:r>
              <w:rPr>
                <w:rFonts w:hint="eastAsia" w:ascii="仿宋" w:hAnsi="仿宋" w:eastAsia="仿宋" w:cs="仿宋"/>
                <w:color w:val="000000"/>
                <w:szCs w:val="21"/>
                <w:highlight w:val="none"/>
                <w:lang w:eastAsia="zh-CN"/>
              </w:rPr>
            </w:r>
            <w:r/>
          </w:p>
        </w:tc>
      </w:tr>
      <w:tr>
        <w:trPr>
          <w:trHeight w:val="409"/>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11.2</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投标报价</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报价的特殊规定：</w:t>
            </w:r>
            <w:r>
              <w:rPr>
                <w:rFonts w:hint="eastAsia" w:ascii="仿宋" w:hAnsi="仿宋" w:eastAsia="仿宋" w:cs="仿宋"/>
                <w:color w:val="000000"/>
                <w:szCs w:val="21"/>
                <w:highlight w:val="none"/>
              </w:rPr>
            </w:r>
            <w:r/>
          </w:p>
          <w:p>
            <w:pPr>
              <w:pStyle w:val="1032"/>
              <w:jc w:val="left"/>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本项目以各单餐用餐标准为基数，供应商在响应文件中填报固定优惠率【优惠率应大于0】。</w:t>
            </w:r>
            <w:r>
              <w:rPr>
                <w:rFonts w:hint="eastAsia" w:ascii="仿宋" w:hAnsi="仿宋" w:eastAsia="仿宋" w:cs="仿宋"/>
                <w:b/>
                <w:bCs/>
                <w:color w:val="000000"/>
                <w:szCs w:val="21"/>
                <w:highlight w:val="none"/>
                <w:lang w:val="en-US" w:eastAsia="zh-CN"/>
              </w:rPr>
            </w:r>
            <w:r/>
          </w:p>
          <w:p>
            <w:pPr>
              <w:pStyle w:val="1032"/>
              <w:jc w:val="lef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val="en-US" w:eastAsia="zh-CN"/>
              </w:rPr>
              <w:t xml:space="preserve">每餐须按照单餐用餐标准*（1+成交优惠率）（元/人/餐）的价格提供餐食，最终按照实际就餐次数据实结算。</w:t>
            </w:r>
            <w:r>
              <w:rPr>
                <w:rFonts w:hint="eastAsia" w:ascii="仿宋" w:hAnsi="仿宋" w:eastAsia="仿宋" w:cs="仿宋"/>
                <w:b/>
                <w:bCs/>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12</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投标保证金</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免收</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13.1</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投标有效期</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自提交投标文件的截止之日起算90日历天。</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14.1</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投标文件份数</w:t>
            </w:r>
            <w:r>
              <w:rPr>
                <w:rFonts w:hint="eastAsia" w:ascii="仿宋" w:hAnsi="仿宋" w:eastAsia="仿宋" w:cs="仿宋"/>
                <w:color w:val="000000"/>
                <w:szCs w:val="21"/>
                <w:highlight w:val="none"/>
              </w:rPr>
              <w:tab/>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本项目为“苏采云”政府采购一体化平台全流程线上招投标，投标时各供应商应按招标文件及”苏采云”政府采购一体化平台规定制作并提交电子版投标文件。</w:t>
            </w:r>
            <w:r>
              <w:rPr>
                <w:rFonts w:hint="eastAsia" w:ascii="仿宋" w:hAnsi="仿宋" w:eastAsia="仿宋" w:cs="仿宋"/>
                <w:b/>
                <w:bCs/>
                <w:color w:val="000000"/>
                <w:szCs w:val="21"/>
                <w:highlight w:val="none"/>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中标结果确定后中标单位应提交胶装并加盖公章的纸质版投标文件贰份，纸质投标文件应与“苏采云”政府采购一体化平台中的电子文件内容、格式一致。</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25.5</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本项目的非主体、非关键性工作是否允许分包：不允许</w:t>
            </w:r>
            <w:r>
              <w:rPr>
                <w:rFonts w:hint="eastAsia" w:ascii="仿宋" w:hAnsi="仿宋" w:eastAsia="仿宋" w:cs="仿宋"/>
                <w:color w:val="000000"/>
                <w:szCs w:val="21"/>
                <w:highlight w:val="none"/>
                <w:u w:val="singl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26.1</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询问送达形式：接收加盖单位公章的书面询问函</w:t>
            </w:r>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采购人或采购代理机构对供应商依法提出的询问，在3个工作日内作出答复，但答复的内容不得涉及商业秘密。</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26.2</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质疑</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质疑送达形式：</w:t>
            </w:r>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一、供应商认为自己的权益受到损害的，可以在知道或者应知其权益受到损害之日起七个工作日内，向采购代理机构提出质疑。</w:t>
            </w:r>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1.接收质疑函的方式：接收加盖单位公章的书面质疑函</w:t>
            </w:r>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2.质疑函的内容、格式：应符合《政府采购质疑和投诉办法》相关规定和财政部门制定的《政府采购质疑函范本》格式。</w:t>
            </w:r>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二、供应商应在法定质疑期内一次性针对同一采购程序环节提出质疑，否则针对再次提出的质疑将不予接收。（采购程序环节分为：采购公告、招标文件、采购过程、成交结果）</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26.3</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联系方式</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接收询问和质疑的联系方式</w:t>
            </w:r>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联系单位：江苏城建校工程咨询有限公司</w:t>
            </w:r>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联 系 人：</w:t>
            </w:r>
            <w:r>
              <w:rPr>
                <w:rFonts w:hint="eastAsia" w:ascii="仿宋" w:hAnsi="仿宋" w:eastAsia="仿宋" w:cs="仿宋"/>
                <w:color w:val="000000"/>
                <w:szCs w:val="21"/>
                <w:highlight w:val="none"/>
                <w:lang w:val="en-US" w:eastAsia="zh-CN"/>
              </w:rPr>
              <w:t xml:space="preserve">姜工</w:t>
            </w:r>
            <w:r>
              <w:rPr>
                <w:rFonts w:hint="eastAsia" w:ascii="仿宋" w:hAnsi="仿宋" w:eastAsia="仿宋" w:cs="仿宋"/>
                <w:color w:val="000000"/>
                <w:szCs w:val="21"/>
                <w:highlight w:val="none"/>
                <w:lang w:val="en-US" w:eastAsia="zh-CN"/>
              </w:rPr>
            </w:r>
            <w:r/>
          </w:p>
          <w:p>
            <w:pPr>
              <w:pStyle w:val="1032"/>
              <w:jc w:val="left"/>
              <w:spacing w:line="276" w:lineRule="auto"/>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联系电话：</w:t>
            </w:r>
            <w:r>
              <w:rPr>
                <w:rFonts w:hint="eastAsia" w:ascii="仿宋" w:hAnsi="仿宋" w:eastAsia="仿宋" w:cs="仿宋"/>
                <w:color w:val="000000"/>
                <w:szCs w:val="21"/>
                <w:highlight w:val="none"/>
                <w:lang w:val="en-US" w:eastAsia="zh-CN"/>
              </w:rPr>
              <w:t xml:space="preserve">19906113189</w:t>
            </w:r>
            <w:r>
              <w:rPr>
                <w:rFonts w:ascii="仿宋" w:hAnsi="仿宋" w:eastAsia="仿宋" w:cs="仿宋"/>
                <w:color w:val="000000"/>
                <w:szCs w:val="21"/>
                <w:highlight w:val="none"/>
                <w:lang w:val="en-US" w:eastAsia="zh-CN"/>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通讯地址：常州市钟楼区清潭路85-2号305室</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27</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代理费</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shd w:val="clear" w:color="auto" w:fill="ffffff"/>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收费对象：成交供应商</w:t>
            </w:r>
            <w:r>
              <w:rPr>
                <w:rFonts w:hint="eastAsia" w:ascii="仿宋" w:hAnsi="仿宋" w:eastAsia="仿宋" w:cs="仿宋"/>
                <w:color w:val="000000"/>
                <w:szCs w:val="21"/>
                <w:highlight w:val="none"/>
                <w:lang w:eastAsia="zh-CN"/>
              </w:rPr>
            </w:r>
            <w:r/>
          </w:p>
          <w:p>
            <w:pPr>
              <w:pStyle w:val="1032"/>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收费标准：以</w:t>
            </w:r>
            <w:r>
              <w:rPr>
                <w:rFonts w:hint="eastAsia" w:ascii="仿宋" w:hAnsi="仿宋" w:eastAsia="仿宋" w:cs="仿宋"/>
                <w:color w:val="000000"/>
                <w:szCs w:val="21"/>
                <w:highlight w:val="none"/>
                <w:lang w:val="en-US" w:eastAsia="zh-CN"/>
              </w:rPr>
              <w:t xml:space="preserve">预算总</w:t>
            </w:r>
            <w:r>
              <w:rPr>
                <w:rFonts w:hint="eastAsia" w:ascii="仿宋" w:hAnsi="仿宋" w:eastAsia="仿宋" w:cs="仿宋"/>
                <w:color w:val="000000"/>
                <w:szCs w:val="21"/>
                <w:highlight w:val="none"/>
              </w:rPr>
              <w:t xml:space="preserve">金额为基数，收费比例按差额定率累进法。</w:t>
            </w:r>
            <w:r>
              <w:rPr>
                <w:rFonts w:hint="eastAsia" w:ascii="仿宋" w:hAnsi="仿宋" w:eastAsia="仿宋" w:cs="仿宋"/>
                <w:color w:val="000000"/>
                <w:szCs w:val="21"/>
                <w:highlight w:val="none"/>
                <w:lang w:val="en-US" w:eastAsia="zh-CN"/>
              </w:rPr>
              <w:t xml:space="preserve">本项目代理服务费=【100*1.5%+（135-100）*0.8%】*10000*0.95；单位：元。</w:t>
            </w:r>
            <w:r>
              <w:rPr>
                <w:rFonts w:hint="eastAsia" w:ascii="仿宋" w:hAnsi="仿宋" w:eastAsia="仿宋" w:cs="仿宋"/>
                <w:color w:val="000000"/>
                <w:szCs w:val="21"/>
                <w:highlight w:val="none"/>
                <w:lang w:val="en-US" w:eastAsia="zh-CN"/>
              </w:rPr>
            </w:r>
            <w:r/>
          </w:p>
          <w:p>
            <w:pPr>
              <w:pStyle w:val="1032"/>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缴纳时间：领取成交通知书前一次性支付至代理机构指定账号</w:t>
            </w:r>
            <w:r>
              <w:rPr>
                <w:rFonts w:hint="eastAsia" w:ascii="仿宋" w:hAnsi="仿宋" w:eastAsia="仿宋" w:cs="仿宋"/>
                <w:color w:val="000000"/>
                <w:szCs w:val="21"/>
                <w:highlight w:val="none"/>
              </w:rPr>
            </w:r>
            <w:r/>
          </w:p>
          <w:p>
            <w:pPr>
              <w:pStyle w:val="1032"/>
              <w:shd w:val="clear" w:color="auto" w:fill="ffffff"/>
              <w:rPr>
                <w:rFonts w:hint="eastAsia" w:ascii="仿宋" w:hAnsi="仿宋" w:eastAsia="仿宋" w:cs="仿宋"/>
                <w:color w:val="000000"/>
                <w:szCs w:val="21"/>
                <w:highlight w:val="none"/>
              </w:rPr>
            </w:pPr>
            <w:r/>
            <w:bookmarkStart w:id="71" w:name="_Toc4760"/>
            <w:r>
              <w:rPr>
                <w:rFonts w:hint="eastAsia" w:ascii="仿宋" w:hAnsi="仿宋" w:eastAsia="仿宋" w:cs="仿宋"/>
                <w:color w:val="000000"/>
                <w:szCs w:val="21"/>
                <w:highlight w:val="none"/>
              </w:rPr>
              <w:t xml:space="preserve">收款单位：江苏城建校工程咨询有限公司</w:t>
            </w:r>
            <w:bookmarkEnd w:id="71"/>
            <w:r>
              <w:rPr>
                <w:rFonts w:hint="eastAsia" w:ascii="仿宋" w:hAnsi="仿宋" w:eastAsia="仿宋" w:cs="仿宋"/>
                <w:color w:val="000000"/>
                <w:szCs w:val="21"/>
                <w:highlight w:val="none"/>
              </w:rPr>
            </w:r>
            <w:r/>
          </w:p>
          <w:p>
            <w:pPr>
              <w:pStyle w:val="1032"/>
              <w:shd w:val="clear" w:color="auto" w:fill="ffffff"/>
              <w:rPr>
                <w:rFonts w:hint="eastAsia" w:ascii="仿宋" w:hAnsi="仿宋" w:eastAsia="仿宋" w:cs="仿宋"/>
                <w:color w:val="000000"/>
                <w:szCs w:val="21"/>
                <w:highlight w:val="none"/>
              </w:rPr>
            </w:pPr>
            <w:r/>
            <w:bookmarkStart w:id="72" w:name="_Toc10855"/>
            <w:r/>
            <w:bookmarkEnd w:id="72"/>
            <w:r/>
            <w:bookmarkStart w:id="73" w:name="_Toc58928459"/>
            <w:r/>
            <w:bookmarkEnd w:id="73"/>
            <w:r/>
            <w:bookmarkStart w:id="74" w:name="_Toc10867"/>
            <w:r>
              <w:rPr>
                <w:rFonts w:hint="eastAsia" w:ascii="仿宋" w:hAnsi="仿宋" w:eastAsia="仿宋" w:cs="仿宋"/>
                <w:color w:val="000000"/>
                <w:szCs w:val="21"/>
                <w:highlight w:val="none"/>
              </w:rPr>
              <w:t xml:space="preserve">开户银行：江苏银行常州怀德支行</w:t>
            </w:r>
            <w:bookmarkEnd w:id="74"/>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highlight w:val="none"/>
              </w:rPr>
            </w:pPr>
            <w:r/>
            <w:bookmarkStart w:id="75" w:name="_Toc14717"/>
            <w:r/>
            <w:bookmarkEnd w:id="75"/>
            <w:r/>
            <w:bookmarkStart w:id="76" w:name="_Toc14480"/>
            <w:r/>
            <w:bookmarkEnd w:id="76"/>
            <w:r/>
            <w:bookmarkStart w:id="77" w:name="_Toc58928460"/>
            <w:r>
              <w:rPr>
                <w:rFonts w:hint="eastAsia" w:ascii="仿宋" w:hAnsi="仿宋" w:eastAsia="仿宋" w:cs="仿宋"/>
                <w:color w:val="000000"/>
                <w:szCs w:val="21"/>
                <w:highlight w:val="none"/>
              </w:rPr>
              <w:t xml:space="preserve">账号：81700188000089469</w:t>
            </w:r>
            <w:bookmarkEnd w:id="77"/>
            <w:r>
              <w:rPr>
                <w:rFonts w:hint="eastAsia" w:ascii="仿宋" w:hAnsi="仿宋" w:eastAsia="仿宋" w:cs="仿宋"/>
                <w:color w:val="000000"/>
                <w:highlight w:val="none"/>
              </w:rPr>
            </w:r>
            <w:r/>
          </w:p>
        </w:tc>
      </w:tr>
      <w:tr>
        <w:trPr>
          <w:trHeight w:val="20"/>
        </w:trPr>
        <w:tc>
          <w:tcPr>
            <w:tcW w:w="988" w:type="dxa"/>
            <w:vAlign w:val="center"/>
            <w:textDirection w:val="lrTb"/>
            <w:noWrap w:val="false"/>
          </w:tcPr>
          <w:p>
            <w:pPr>
              <w:pStyle w:val="1032"/>
              <w:shd w:val="clear" w:color="auto" w:fill="ffffff"/>
              <w:rPr>
                <w:rFonts w:ascii="仿宋" w:hAnsi="仿宋" w:eastAsia="仿宋" w:cs="仿宋"/>
                <w:color w:val="000000"/>
                <w:szCs w:val="21"/>
                <w:highlight w:val="none"/>
              </w:rPr>
            </w:pPr>
            <w:r/>
            <w:bookmarkStart w:id="78" w:name="_Toc226965790"/>
            <w:r/>
            <w:bookmarkStart w:id="79" w:name="_Toc265228355"/>
            <w:r/>
            <w:bookmarkStart w:id="80" w:name="_Toc150480755"/>
            <w:r/>
            <w:bookmarkStart w:id="81" w:name="_Toc353873932"/>
            <w:r/>
            <w:bookmarkStart w:id="82" w:name="_Toc150774722"/>
            <w:r/>
            <w:bookmarkStart w:id="83" w:name="_Toc353873662"/>
            <w:r/>
            <w:bookmarkStart w:id="84" w:name="_Toc127151517"/>
            <w:r/>
            <w:bookmarkStart w:id="85" w:name="_Toc305158859"/>
            <w:r/>
            <w:bookmarkStart w:id="86" w:name="_Toc142311019"/>
            <w:r/>
            <w:bookmarkStart w:id="87" w:name="_Toc264969207"/>
            <w:r/>
            <w:bookmarkStart w:id="88" w:name="_Toc353825542"/>
            <w:r/>
            <w:bookmarkStart w:id="89" w:name="_Toc195842882"/>
            <w:r/>
            <w:bookmarkStart w:id="90" w:name="_Toc305158785"/>
            <w:r/>
            <w:bookmarkStart w:id="91" w:name="_Toc226337213"/>
            <w:r>
              <w:rPr>
                <w:rFonts w:hint="eastAsia" w:ascii="仿宋" w:hAnsi="仿宋" w:eastAsia="仿宋" w:cs="仿宋"/>
                <w:color w:val="000000"/>
                <w:szCs w:val="21"/>
                <w:highlight w:val="none"/>
                <w:lang w:val="en-US" w:eastAsia="zh-CN"/>
              </w:rPr>
              <w:t xml:space="preserve">其他</w:t>
            </w:r>
            <w:r>
              <w:rPr>
                <w:rFonts w:ascii="仿宋" w:hAnsi="仿宋" w:eastAsia="仿宋" w:cs="仿宋"/>
                <w:color w:val="000000"/>
                <w:szCs w:val="21"/>
                <w:highlight w:val="none"/>
              </w:rPr>
            </w:r>
            <w:r/>
          </w:p>
        </w:tc>
        <w:tc>
          <w:tcPr>
            <w:tcW w:w="1701" w:type="dxa"/>
            <w:vAlign w:val="center"/>
            <w:textDirection w:val="lrTb"/>
            <w:noWrap w:val="false"/>
          </w:tcPr>
          <w:p>
            <w:pPr>
              <w:pStyle w:val="1032"/>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本国产品政策支持</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关于对采购本国产品给予政策支持，本项目：</w:t>
            </w:r>
            <w:r>
              <w:rPr>
                <w:rFonts w:ascii="Wingdings 2" w:hAnsi="Wingdings 2" w:eastAsia="Wingdings 2" w:cs="Wingdings 2"/>
                <w:color w:val="000000"/>
                <w:szCs w:val="21"/>
                <w:highlight w:val="none"/>
                <w:lang w:val="en-US" w:eastAsia="zh-CN"/>
              </w:rPr>
              <w:t xml:space="preserve">£</w:t>
            </w:r>
            <w:r>
              <w:rPr>
                <w:rFonts w:hint="eastAsia" w:ascii="仿宋" w:hAnsi="仿宋" w:eastAsia="仿宋" w:cs="仿宋"/>
                <w:color w:val="000000"/>
                <w:szCs w:val="21"/>
                <w:highlight w:val="none"/>
                <w:lang w:val="en-US" w:eastAsia="zh-CN"/>
              </w:rPr>
              <w:t xml:space="preserve">适用 </w:t>
            </w:r>
            <w:r>
              <w:rPr>
                <w:rFonts w:ascii="Wingdings 2" w:hAnsi="Wingdings 2" w:eastAsia="Wingdings 2" w:cs="Wingdings 2"/>
                <w:color w:val="000000"/>
                <w:szCs w:val="21"/>
                <w:highlight w:val="none"/>
                <w:lang w:val="en-US" w:eastAsia="zh-CN"/>
              </w:rPr>
              <w:t xml:space="preserve">R</w:t>
            </w:r>
            <w:r>
              <w:rPr>
                <w:rFonts w:hint="eastAsia" w:ascii="仿宋" w:hAnsi="仿宋" w:eastAsia="仿宋" w:cs="仿宋"/>
                <w:color w:val="000000"/>
                <w:szCs w:val="21"/>
                <w:highlight w:val="none"/>
                <w:lang w:val="en-US" w:eastAsia="zh-CN"/>
              </w:rPr>
              <w:t xml:space="preserve">不适用。</w:t>
            </w:r>
            <w:r>
              <w:rPr>
                <w:rFonts w:hint="eastAsia" w:ascii="仿宋" w:hAnsi="仿宋" w:eastAsia="仿宋" w:cs="仿宋"/>
                <w:color w:val="000000"/>
                <w:szCs w:val="21"/>
                <w:highlight w:val="none"/>
                <w:lang w:val="en-US" w:eastAsia="zh-CN"/>
              </w:rPr>
            </w:r>
            <w:r/>
          </w:p>
          <w:p>
            <w:pPr>
              <w:pStyle w:val="1032"/>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仿宋" w:hAnsi="仿宋" w:eastAsia="仿宋" w:cs="仿宋"/>
                <w:color w:val="000000"/>
                <w:szCs w:val="21"/>
                <w:highlight w:val="none"/>
              </w:rPr>
            </w:r>
            <w:r/>
          </w:p>
        </w:tc>
      </w:tr>
    </w:tbl>
    <w:p>
      <w:pPr>
        <w:pStyle w:val="1032"/>
        <w:jc w:val="center"/>
        <w:spacing w:before="240" w:after="240"/>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br w:type="page" w:clear="all"/>
      </w:r>
      <w:r>
        <w:rPr>
          <w:rFonts w:hint="eastAsia" w:ascii="仿宋" w:hAnsi="仿宋" w:eastAsia="仿宋" w:cs="仿宋"/>
          <w:b/>
          <w:color w:val="000000"/>
          <w:sz w:val="28"/>
          <w:szCs w:val="28"/>
          <w:highlight w:val="none"/>
        </w:rPr>
        <w:t xml:space="preserve">供应商须知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仿宋" w:hAnsi="仿宋" w:eastAsia="仿宋" w:cs="仿宋"/>
          <w:b/>
          <w:color w:val="000000"/>
          <w:sz w:val="28"/>
          <w:szCs w:val="28"/>
          <w:highlight w:val="none"/>
        </w:rPr>
      </w:r>
      <w:r/>
    </w:p>
    <w:p>
      <w:pPr>
        <w:pStyle w:val="1218"/>
        <w:jc w:val="left"/>
        <w:spacing w:before="0" w:line="360" w:lineRule="auto"/>
        <w:tabs>
          <w:tab w:val="center" w:pos="4592" w:leader="none"/>
          <w:tab w:val="left" w:pos="7860" w:leader="none"/>
        </w:tabs>
        <w:rPr>
          <w:rFonts w:hint="eastAsia" w:ascii="仿宋" w:hAnsi="仿宋" w:eastAsia="仿宋" w:cs="仿宋"/>
          <w:color w:val="000000"/>
          <w:sz w:val="28"/>
          <w:highlight w:val="none"/>
        </w:rPr>
      </w:pPr>
      <w:r/>
      <w:bookmarkStart w:id="92" w:name="_Toc520356143"/>
      <w:r/>
      <w:bookmarkStart w:id="93" w:name="_Toc127151518"/>
      <w:r>
        <w:rPr>
          <w:rFonts w:hint="eastAsia" w:ascii="仿宋" w:hAnsi="仿宋" w:eastAsia="仿宋" w:cs="仿宋"/>
          <w:color w:val="000000"/>
          <w:sz w:val="28"/>
          <w:highlight w:val="none"/>
        </w:rPr>
        <w:tab/>
      </w:r>
      <w:bookmarkStart w:id="94" w:name="_Toc150480756"/>
      <w:r/>
      <w:bookmarkStart w:id="95" w:name="_Toc151193906"/>
      <w:r/>
      <w:bookmarkStart w:id="96" w:name="_Toc226337214"/>
      <w:r/>
      <w:bookmarkStart w:id="97" w:name="_Toc226965708"/>
      <w:r/>
      <w:bookmarkStart w:id="98" w:name="_Toc305158786"/>
      <w:r/>
      <w:bookmarkStart w:id="99" w:name="_Toc151193688"/>
      <w:r/>
      <w:bookmarkStart w:id="100" w:name="_Toc150774618"/>
      <w:r/>
      <w:bookmarkStart w:id="101" w:name="_Toc195842883"/>
      <w:r/>
      <w:bookmarkStart w:id="102" w:name="_Toc142311020"/>
      <w:r/>
      <w:bookmarkStart w:id="103" w:name="_Toc226965791"/>
      <w:r/>
      <w:bookmarkStart w:id="104" w:name="_Toc305158860"/>
      <w:r/>
      <w:bookmarkStart w:id="105" w:name="_Toc150509269"/>
      <w:r/>
      <w:bookmarkStart w:id="106" w:name="_Toc226309762"/>
      <w:r/>
      <w:bookmarkStart w:id="107" w:name="_Toc151190145"/>
      <w:r/>
      <w:bookmarkStart w:id="108" w:name="_Toc150774723"/>
      <w:r/>
      <w:bookmarkStart w:id="109" w:name="_Toc151193616"/>
      <w:r/>
      <w:bookmarkStart w:id="110" w:name="_Toc151193832"/>
      <w:r/>
      <w:bookmarkStart w:id="111" w:name="_Toc151193760"/>
      <w:r/>
      <w:bookmarkStart w:id="112" w:name="_Toc265228356"/>
      <w:r/>
      <w:bookmarkStart w:id="113" w:name="_Toc264969208"/>
      <w:r>
        <w:rPr>
          <w:rFonts w:hint="eastAsia" w:ascii="仿宋" w:hAnsi="仿宋" w:eastAsia="仿宋" w:cs="仿宋"/>
          <w:color w:val="000000"/>
          <w:sz w:val="28"/>
          <w:highlight w:val="none"/>
        </w:rPr>
        <w:t xml:space="preserve">一   说  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hint="eastAsia" w:ascii="仿宋" w:hAnsi="仿宋" w:eastAsia="仿宋" w:cs="仿宋"/>
          <w:color w:val="000000"/>
          <w:sz w:val="28"/>
          <w:highlight w:val="none"/>
        </w:rPr>
        <w:tab/>
      </w:r>
      <w:r>
        <w:rPr>
          <w:rFonts w:hint="eastAsia" w:ascii="仿宋" w:hAnsi="仿宋" w:eastAsia="仿宋" w:cs="仿宋"/>
          <w:color w:val="000000"/>
          <w:sz w:val="28"/>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114" w:name="_Toc305158787"/>
      <w:r/>
      <w:bookmarkStart w:id="115" w:name="_Toc264969209"/>
      <w:r/>
      <w:bookmarkStart w:id="116" w:name="_Toc265228357"/>
      <w:r/>
      <w:bookmarkStart w:id="117" w:name="_Toc305158861"/>
      <w:r>
        <w:rPr>
          <w:rFonts w:hint="eastAsia" w:ascii="仿宋" w:hAnsi="仿宋" w:eastAsia="仿宋" w:cs="仿宋"/>
          <w:color w:val="000000"/>
          <w:sz w:val="21"/>
          <w:szCs w:val="21"/>
          <w:highlight w:val="none"/>
        </w:rPr>
        <w:t xml:space="preserve">1.采购人、采购代理机构、</w:t>
      </w:r>
      <w:bookmarkEnd w:id="114"/>
      <w:r/>
      <w:bookmarkEnd w:id="115"/>
      <w:r/>
      <w:bookmarkEnd w:id="116"/>
      <w:r/>
      <w:bookmarkEnd w:id="117"/>
      <w:r>
        <w:rPr>
          <w:rFonts w:hint="eastAsia" w:ascii="仿宋" w:hAnsi="仿宋" w:eastAsia="仿宋" w:cs="仿宋"/>
          <w:color w:val="000000"/>
          <w:sz w:val="21"/>
          <w:szCs w:val="21"/>
          <w:highlight w:val="none"/>
        </w:rPr>
        <w:t xml:space="preserve">供应商、联合体</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1.2供应商（也称“投标人”、“申请人”）：指向采购人提供货物、工程或者服务的法人、其他组织或者自然人。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1.3联合体：指两个以上的自然人、法人或者其他组织组成一个联合体，以一个供应商的身份共同参加政府采购。</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118" w:name="_Toc151193834"/>
      <w:r/>
      <w:bookmarkStart w:id="119" w:name="_Toc151193762"/>
      <w:r/>
      <w:bookmarkStart w:id="120" w:name="_Toc150480758"/>
      <w:r/>
      <w:bookmarkStart w:id="121" w:name="_Toc164229361"/>
      <w:r/>
      <w:bookmarkStart w:id="122" w:name="_Toc142311022"/>
      <w:r/>
      <w:bookmarkStart w:id="123" w:name="_Toc127161434"/>
      <w:r/>
      <w:bookmarkStart w:id="124" w:name="_Toc195842885"/>
      <w:r/>
      <w:bookmarkStart w:id="125" w:name="_Toc151193690"/>
      <w:r/>
      <w:bookmarkStart w:id="126" w:name="_Toc150774725"/>
      <w:r/>
      <w:bookmarkStart w:id="127" w:name="_Toc151193908"/>
      <w:r/>
      <w:bookmarkStart w:id="128" w:name="_Toc150509271"/>
      <w:r/>
      <w:bookmarkStart w:id="129" w:name="_Toc264969210"/>
      <w:r/>
      <w:bookmarkStart w:id="130" w:name="_Toc164608634"/>
      <w:r/>
      <w:bookmarkStart w:id="131" w:name="_Toc226965710"/>
      <w:r/>
      <w:bookmarkStart w:id="132" w:name="_Toc164608789"/>
      <w:r/>
      <w:bookmarkStart w:id="133" w:name="_Toc226965793"/>
      <w:r/>
      <w:bookmarkStart w:id="134" w:name="_Toc265228358"/>
      <w:r/>
      <w:bookmarkStart w:id="135" w:name="_Toc151193618"/>
      <w:r/>
      <w:bookmarkStart w:id="136" w:name="_Toc226309764"/>
      <w:r/>
      <w:bookmarkStart w:id="137" w:name="_Toc150774620"/>
      <w:r/>
      <w:bookmarkStart w:id="138" w:name="_Toc305158788"/>
      <w:r/>
      <w:bookmarkStart w:id="139" w:name="_Toc149720813"/>
      <w:r/>
      <w:bookmarkStart w:id="140" w:name="_Toc127151520"/>
      <w:r/>
      <w:bookmarkStart w:id="141" w:name="_Toc151190147"/>
      <w:r/>
      <w:bookmarkStart w:id="142" w:name="_Toc164351614"/>
      <w:r/>
      <w:bookmarkStart w:id="143" w:name="_Toc305158862"/>
      <w:r/>
      <w:bookmarkStart w:id="144" w:name="_Toc164229215"/>
      <w:r/>
      <w:bookmarkStart w:id="145" w:name="_Toc226337216"/>
      <w:r/>
      <w:bookmarkStart w:id="146" w:name="_Toc127151721"/>
      <w:r>
        <w:rPr>
          <w:rFonts w:hint="eastAsia" w:ascii="仿宋" w:hAnsi="仿宋" w:eastAsia="仿宋" w:cs="仿宋"/>
          <w:color w:val="000000"/>
          <w:sz w:val="21"/>
          <w:szCs w:val="21"/>
          <w:highlight w:val="none"/>
        </w:rPr>
        <w:t xml:space="preserve">2.资金来源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仿宋" w:hAnsi="仿宋" w:eastAsia="仿宋" w:cs="仿宋"/>
          <w:color w:val="000000"/>
          <w:sz w:val="21"/>
          <w:szCs w:val="21"/>
          <w:highlight w:val="none"/>
        </w:rPr>
        <w:t xml:space="preserve">、项目属性、科研仪器设备采购、核心产品</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2.1资金来源为财政性资金和/或本项目采购中无法与财政性资金分割的非财政性资金。</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2.2项目属性见《供应商须知资料表》。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2.3是否属于科研仪器设备采购见《供应商须知资料表》。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2.4核心产品见《供应商须知资料表》。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3.现场考察、开标前答疑会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3.1若《供应商须知资料表》中规定了组织现场考察、召开开标前答疑会，则供应商应按要求在规定的时间和地点参加。</w:t>
      </w:r>
      <w:bookmarkStart w:id="147" w:name="_Toc151193910"/>
      <w:r/>
      <w:bookmarkStart w:id="148" w:name="_Toc520356146"/>
      <w:r/>
      <w:bookmarkStart w:id="149" w:name="_Toc151193764"/>
      <w:r/>
      <w:bookmarkStart w:id="150" w:name="_Toc151193620"/>
      <w:r/>
      <w:bookmarkStart w:id="151" w:name="_Toc151193692"/>
      <w:r/>
      <w:bookmarkStart w:id="152" w:name="_Toc151190149"/>
      <w:r/>
      <w:bookmarkStart w:id="153" w:name="_Toc195842887"/>
      <w:r/>
      <w:bookmarkStart w:id="154" w:name="_Toc127151522"/>
      <w:r/>
      <w:bookmarkStart w:id="155" w:name="_Toc226309766"/>
      <w:r/>
      <w:bookmarkStart w:id="156" w:name="_Toc150509273"/>
      <w:r/>
      <w:bookmarkStart w:id="157" w:name="_Toc264969212"/>
      <w:r/>
      <w:bookmarkStart w:id="158" w:name="_Toc265228360"/>
      <w:r/>
      <w:bookmarkStart w:id="159" w:name="_Toc150480760"/>
      <w:r/>
      <w:bookmarkStart w:id="160" w:name="_Toc226965712"/>
      <w:r/>
      <w:bookmarkStart w:id="161" w:name="_Toc150774727"/>
      <w:r/>
      <w:bookmarkStart w:id="162" w:name="_Toc305158864"/>
      <w:r/>
      <w:bookmarkStart w:id="163" w:name="_Toc226337218"/>
      <w:r/>
      <w:bookmarkStart w:id="164" w:name="_Toc150774622"/>
      <w:r/>
      <w:bookmarkStart w:id="165" w:name="_Toc226965795"/>
      <w:r/>
      <w:bookmarkStart w:id="166" w:name="_Toc142311024"/>
      <w:r/>
      <w:bookmarkStart w:id="167" w:name="_Toc151193836"/>
      <w:r/>
      <w:bookmarkStart w:id="168" w:name="_Toc305158790"/>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3.2由于未参加现场考察或开标前答疑会而导致对项目实际情况不了解，影响投标文件编制、投标报价准确性、综合因素响应不全面等问题的，由供应商自行承担不利评审后果。</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4.样品</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4.1本项目是否要求供应商提供样品，以及样品制作的标准和要求、是否需要随样品提交相关检测报告、样品的递交与退还等要求见《供应商须知资料表》。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4.2样品的评审方法以及评审标准等内容见第四章《评标方法和评标标准》。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5.政府采购政策（包括但不限于下列具体政策要求）</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5.1进口产品</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5.2中小企业、监狱企业及残疾人福利性单位</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5.2.1中小企业定义：</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5.2.1.1中小企业是</w:t>
      </w:r>
      <w:r>
        <w:rPr>
          <w:rFonts w:hint="eastAsia" w:ascii="仿宋" w:hAnsi="仿宋" w:eastAsia="仿宋" w:cs="仿宋"/>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5.2.1.2供应商提供的货物、工程或者服务符合下列情形的，享受中小企业扶持政策：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（2）在工程采购项目中，工程由中小企业承建，即工程施工单位为中小企业；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5.2.1.3在货物采购项目中，供应商提供的货物既有中小企业制造货物，也有大型企业制造货物的，不享受中小企业扶持政策。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5.2.1.4以联合体形式参加政府采购活动，联合体各方均为中小企业的，联合体视同中小企业。其中，联合体各方均为小微企业的，联合体视同小微企业。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5.2.3残疾人福利单位定义：享受政府采购支持政策的残疾人福利性单位应当同时满足以下条件：</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5.2.3.1安置的残疾人占本单位在职职工人数的比例不低于25%（含25%），并且安置的残疾人人数不少于10 人（含10 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5.2.3.2依法与安置的每位残疾人签订了一年以上（含一年）的劳动合同或服务协议；</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5.2.3.3为安置的每位残疾人按月足额缴纳了基本养老保险、基本医疗保险、失业保险、工伤保险和生育保险等社会保险费；</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5.2.3.4通过银行等金融机构向安置的每位残疾人，按月支付了不低于单位所在区县适用的经省级人民政府批准的月最低工资标准的工资；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5.2.4本项目是否专门面向中小企业预留采购份额见第一章《投标邀请》。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5.2.5采购标的对应的中小企业划分标准所属行业见《供应商须知资料表》。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5.2.6小微企业价格评审优惠的政策调整：见第四章《评标方法和评标标准》。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5.3政府采购节能产品、环境标志产品</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5.3.3如本项目采购产品属于实施政府强制采购品目清单范围的节能产品，则供应商所报产品必须获得国家确定的认证机构出具的、处于有效期之内的节能产品认证证书，否则投标无效；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5.3.4非政府强制采购的节能产品或环境标志产品，依据品目清单和认证证书实施政府优先采购。优先采购的具体规定见第四章《评标方法和评标标准》（如涉及）。</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5.4支持乡村产业振兴管理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5.5正版软件</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color w:val="000000"/>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5.6政府采购创新产品政策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5.7绿色采购政策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5.7.1  绿色数据中心政策 </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依据《绿色数据中心政府采购需求标准（试行）》（财办库〔2023〕7 号）文件精神，采购</w:t>
      </w:r>
      <w:r>
        <w:rPr>
          <w:rFonts w:hint="eastAsia" w:ascii="仿宋" w:hAnsi="仿宋" w:eastAsia="仿宋" w:cs="仿宋"/>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5.7.2 推广应用绿色建材</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5.7.3 优先使用低挥发性有机化合物产品</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仿宋" w:hAnsi="仿宋" w:eastAsia="仿宋" w:cs="仿宋"/>
          <w:color w:val="000000"/>
          <w:sz w:val="21"/>
          <w:szCs w:val="21"/>
          <w:highlight w:val="none"/>
        </w:rPr>
      </w:r>
      <w:r/>
    </w:p>
    <w:p>
      <w:pPr>
        <w:pStyle w:val="1510"/>
        <w:ind w:left="0" w:firstLine="422"/>
        <w:spacing w:before="0"/>
        <w:shd w:val="clear" w:color="auto" w:fill="ffffff"/>
        <w:rPr>
          <w:rStyle w:val="1443"/>
          <w:rFonts w:hint="eastAsia" w:ascii="仿宋" w:hAnsi="仿宋" w:eastAsia="仿宋" w:cs="仿宋"/>
          <w:b/>
          <w:bCs/>
          <w:color w:val="000000"/>
          <w:sz w:val="21"/>
          <w:szCs w:val="21"/>
          <w:highlight w:val="none"/>
          <w:lang w:val="en-US" w:eastAsia="zh-CN"/>
        </w:rPr>
      </w:pPr>
      <w:r>
        <w:rPr>
          <w:rStyle w:val="1443"/>
          <w:rFonts w:hint="eastAsia" w:ascii="仿宋" w:hAnsi="仿宋" w:eastAsia="仿宋" w:cs="仿宋"/>
          <w:b/>
          <w:bCs/>
          <w:color w:val="000000"/>
          <w:sz w:val="21"/>
          <w:szCs w:val="21"/>
          <w:highlight w:val="none"/>
          <w:lang w:val="en-US"/>
        </w:rPr>
        <w:t xml:space="preserve">5.8</w:t>
      </w:r>
      <w:r>
        <w:rPr>
          <w:rStyle w:val="1443"/>
          <w:rFonts w:hint="eastAsia" w:ascii="仿宋" w:hAnsi="仿宋" w:eastAsia="仿宋" w:cs="仿宋"/>
          <w:b/>
          <w:bCs/>
          <w:color w:val="000000"/>
          <w:sz w:val="21"/>
          <w:szCs w:val="21"/>
          <w:highlight w:val="none"/>
          <w:lang w:val="en-US" w:eastAsia="zh-CN"/>
        </w:rPr>
        <w:t xml:space="preserve">电子履约保函政策</w:t>
      </w:r>
      <w:r>
        <w:rPr>
          <w:rStyle w:val="1443"/>
          <w:rFonts w:hint="eastAsia" w:ascii="仿宋" w:hAnsi="仿宋" w:eastAsia="仿宋" w:cs="仿宋"/>
          <w:b/>
          <w:bCs/>
          <w:color w:val="000000"/>
          <w:sz w:val="21"/>
          <w:szCs w:val="21"/>
          <w:highlight w:val="none"/>
          <w:lang w:val="en-US" w:eastAsia="zh-CN"/>
        </w:rPr>
      </w:r>
      <w:r/>
    </w:p>
    <w:p>
      <w:pPr>
        <w:pStyle w:val="1510"/>
        <w:ind w:left="0" w:firstLine="422"/>
        <w:spacing w:before="0"/>
        <w:shd w:val="clear" w:color="auto" w:fill="ffffff"/>
        <w:rPr>
          <w:rStyle w:val="1443"/>
          <w:rFonts w:hint="eastAsia" w:ascii="仿宋" w:hAnsi="仿宋" w:eastAsia="仿宋" w:cs="仿宋"/>
          <w:b/>
          <w:bCs/>
          <w:color w:val="000000"/>
          <w:sz w:val="21"/>
          <w:szCs w:val="21"/>
          <w:highlight w:val="none"/>
          <w:lang w:val="en-US" w:eastAsia="zh-CN"/>
        </w:rPr>
      </w:pPr>
      <w:r>
        <w:rPr>
          <w:rStyle w:val="1443"/>
          <w:rFonts w:hint="eastAsia" w:ascii="仿宋" w:hAnsi="仿宋" w:eastAsia="仿宋" w:cs="仿宋"/>
          <w:b/>
          <w:bCs/>
          <w:color w:val="000000"/>
          <w:sz w:val="21"/>
          <w:szCs w:val="21"/>
          <w:highlight w:val="none"/>
          <w:lang w:val="en-US" w:eastAsia="zh-CN"/>
        </w:rPr>
        <w:t xml:space="preserve">为进一步优化政府采购营商环境，规范我省政府采购履约保证金管理，持续降低供应商参与政府采购成本，根据</w:t>
      </w:r>
      <w:r>
        <w:rPr>
          <w:rStyle w:val="1443"/>
          <w:rFonts w:hint="eastAsia" w:ascii="仿宋" w:hAnsi="仿宋" w:eastAsia="仿宋" w:cs="仿宋"/>
          <w:b/>
          <w:bCs/>
          <w:color w:val="000000"/>
          <w:sz w:val="21"/>
          <w:szCs w:val="21"/>
          <w:highlight w:val="none"/>
          <w:lang w:val="en-US" w:eastAsia="zh-CN"/>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Style w:val="1443"/>
          <w:rFonts w:hint="eastAsia" w:ascii="仿宋" w:hAnsi="仿宋" w:eastAsia="仿宋" w:cs="仿宋"/>
          <w:b/>
          <w:bCs/>
          <w:color w:val="000000"/>
          <w:sz w:val="21"/>
          <w:szCs w:val="21"/>
          <w:highlight w:val="none"/>
          <w:lang w:val="en-US" w:eastAsia="zh-CN"/>
        </w:rPr>
      </w:r>
      <w:r/>
    </w:p>
    <w:p>
      <w:pPr>
        <w:pStyle w:val="1510"/>
        <w:ind w:left="0" w:firstLine="422"/>
        <w:spacing w:before="0"/>
        <w:shd w:val="clear" w:color="auto" w:fill="ffffff"/>
        <w:rPr>
          <w:rStyle w:val="1443"/>
          <w:rFonts w:hint="eastAsia" w:ascii="仿宋" w:hAnsi="仿宋" w:eastAsia="仿宋" w:cs="仿宋"/>
          <w:b/>
          <w:bCs/>
          <w:color w:val="000000"/>
          <w:sz w:val="21"/>
          <w:szCs w:val="21"/>
          <w:highlight w:val="none"/>
          <w:lang w:val="en-US" w:eastAsia="zh-CN"/>
        </w:rPr>
      </w:pPr>
      <w:r>
        <w:rPr>
          <w:rStyle w:val="1443"/>
          <w:rFonts w:hint="eastAsia" w:ascii="仿宋" w:hAnsi="仿宋" w:eastAsia="仿宋" w:cs="仿宋"/>
          <w:b/>
          <w:bCs/>
          <w:color w:val="000000"/>
          <w:sz w:val="21"/>
          <w:szCs w:val="21"/>
          <w:highlight w:val="none"/>
          <w:lang w:val="en-US" w:eastAsia="zh-CN"/>
        </w:rPr>
        <w:t xml:space="preserve">5.9政府采购中实施本国产品标准及相关政策</w:t>
      </w:r>
      <w:r>
        <w:rPr>
          <w:rStyle w:val="1443"/>
          <w:rFonts w:hint="eastAsia" w:ascii="仿宋" w:hAnsi="仿宋" w:eastAsia="仿宋" w:cs="仿宋"/>
          <w:b/>
          <w:bCs/>
          <w:color w:val="000000"/>
          <w:sz w:val="21"/>
          <w:szCs w:val="21"/>
          <w:highlight w:val="none"/>
          <w:lang w:val="en-US" w:eastAsia="zh-CN"/>
        </w:rPr>
      </w:r>
      <w:r/>
    </w:p>
    <w:p>
      <w:pPr>
        <w:pStyle w:val="1510"/>
        <w:ind w:left="0" w:firstLine="422"/>
        <w:spacing w:before="0"/>
        <w:shd w:val="clear" w:color="auto" w:fill="ffffff"/>
        <w:rPr>
          <w:rStyle w:val="1443"/>
          <w:rFonts w:hint="eastAsia" w:ascii="仿宋" w:hAnsi="仿宋" w:eastAsia="仿宋" w:cs="仿宋"/>
          <w:b/>
          <w:bCs/>
          <w:color w:val="000000"/>
          <w:sz w:val="21"/>
          <w:szCs w:val="21"/>
          <w:highlight w:val="none"/>
          <w:lang w:val="en-US" w:eastAsia="zh-CN"/>
        </w:rPr>
      </w:pPr>
      <w:r>
        <w:rPr>
          <w:rStyle w:val="1443"/>
          <w:rFonts w:hint="eastAsia" w:ascii="仿宋" w:hAnsi="仿宋" w:eastAsia="仿宋" w:cs="仿宋"/>
          <w:b/>
          <w:bCs/>
          <w:color w:val="000000"/>
          <w:sz w:val="21"/>
          <w:szCs w:val="21"/>
          <w:highlight w:val="none"/>
          <w:lang w:val="en-US" w:eastAsia="zh-CN"/>
        </w:rPr>
        <w:t xml:space="preserve">本国产品标准适用于货物，包括政府采购货物项目和服务项目中涉及的货物。完成本服务项目中涉及的洗涤剂等货物均应使用本国产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Style w:val="1443"/>
          <w:rFonts w:hint="eastAsia" w:ascii="仿宋" w:hAnsi="仿宋" w:eastAsia="仿宋" w:cs="仿宋"/>
          <w:b/>
          <w:bCs/>
          <w:color w:val="000000"/>
          <w:sz w:val="21"/>
          <w:szCs w:val="21"/>
          <w:highlight w:val="none"/>
          <w:lang w:val="en-US" w:eastAsia="zh-CN"/>
        </w:rPr>
      </w:r>
      <w:r/>
    </w:p>
    <w:p>
      <w:pPr>
        <w:pStyle w:val="1510"/>
        <w:ind w:left="0" w:firstLine="422"/>
        <w:spacing w:before="0"/>
        <w:shd w:val="clear" w:color="auto" w:fill="ffffff"/>
        <w:rPr>
          <w:rStyle w:val="1443"/>
          <w:rFonts w:hint="eastAsia" w:ascii="仿宋" w:hAnsi="仿宋" w:eastAsia="仿宋" w:cs="仿宋"/>
          <w:b/>
          <w:bCs/>
          <w:color w:val="000000"/>
          <w:sz w:val="21"/>
          <w:szCs w:val="21"/>
          <w:highlight w:val="none"/>
          <w:lang w:val="en-US" w:eastAsia="zh-CN"/>
        </w:rPr>
      </w:pPr>
      <w:r>
        <w:rPr>
          <w:rStyle w:val="1443"/>
          <w:rFonts w:hint="eastAsia" w:ascii="仿宋" w:hAnsi="仿宋" w:eastAsia="仿宋" w:cs="仿宋"/>
          <w:b/>
          <w:bCs/>
          <w:color w:val="000000"/>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响应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Style w:val="1443"/>
          <w:rFonts w:hint="eastAsia" w:ascii="仿宋" w:hAnsi="仿宋" w:eastAsia="仿宋" w:cs="仿宋"/>
          <w:b/>
          <w:bCs/>
          <w:color w:val="000000"/>
          <w:sz w:val="21"/>
          <w:szCs w:val="21"/>
          <w:highlight w:val="none"/>
          <w:lang w:val="en-US" w:eastAsia="zh-CN"/>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6.投标费用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6.1供应商应自行承担所有与准备和参加投标有关的费用，无论投标的结果如何，</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6.2采购人或采购代理机构在任何情况下均无承担这些费用的义务和责任。</w:t>
      </w:r>
      <w:r>
        <w:rPr>
          <w:rFonts w:hint="eastAsia" w:ascii="仿宋" w:hAnsi="仿宋" w:eastAsia="仿宋" w:cs="仿宋"/>
          <w:color w:val="000000"/>
          <w:sz w:val="21"/>
          <w:szCs w:val="21"/>
          <w:highlight w:val="none"/>
        </w:rPr>
      </w:r>
      <w:r/>
    </w:p>
    <w:p>
      <w:pPr>
        <w:pStyle w:val="1218"/>
        <w:spacing w:before="0" w:line="360" w:lineRule="auto"/>
        <w:rPr>
          <w:rFonts w:hint="eastAsia" w:ascii="仿宋" w:hAnsi="仿宋" w:eastAsia="仿宋" w:cs="仿宋"/>
          <w:color w:val="000000"/>
          <w:sz w:val="21"/>
          <w:szCs w:val="21"/>
          <w:highlight w:val="none"/>
        </w:rPr>
      </w:pPr>
      <w:r/>
      <w:bookmarkStart w:id="169" w:name="_1.8_计量单位"/>
      <w:r/>
      <w:bookmarkEnd w:id="169"/>
      <w:r>
        <w:rPr>
          <w:rFonts w:hint="eastAsia" w:ascii="仿宋" w:hAnsi="仿宋" w:eastAsia="仿宋" w:cs="仿宋"/>
          <w:color w:val="000000"/>
          <w:sz w:val="21"/>
          <w:szCs w:val="21"/>
          <w:highlight w:val="none"/>
        </w:rPr>
        <w:t xml:space="preserve">二   招标文件</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170" w:name="_Toc226309767"/>
      <w:r/>
      <w:bookmarkStart w:id="171" w:name="_Toc150480761"/>
      <w:r/>
      <w:bookmarkStart w:id="172" w:name="_Toc150509274"/>
      <w:r/>
      <w:bookmarkStart w:id="173" w:name="_Toc226337219"/>
      <w:r/>
      <w:bookmarkStart w:id="174" w:name="_Toc151193911"/>
      <w:r/>
      <w:bookmarkStart w:id="175" w:name="_Toc226965796"/>
      <w:r/>
      <w:bookmarkStart w:id="176" w:name="_Toc164608637"/>
      <w:r/>
      <w:bookmarkStart w:id="177" w:name="_Toc164608792"/>
      <w:r/>
      <w:bookmarkStart w:id="178" w:name="_Toc164229218"/>
      <w:r/>
      <w:bookmarkStart w:id="179" w:name="_Toc151190150"/>
      <w:r/>
      <w:bookmarkStart w:id="180" w:name="_Toc164351617"/>
      <w:r/>
      <w:bookmarkStart w:id="181" w:name="_Toc150774623"/>
      <w:r/>
      <w:bookmarkStart w:id="182" w:name="_Toc149720816"/>
      <w:r/>
      <w:bookmarkStart w:id="183" w:name="_Toc164229364"/>
      <w:r/>
      <w:bookmarkStart w:id="184" w:name="_Toc520356147"/>
      <w:r/>
      <w:bookmarkStart w:id="185" w:name="_Toc305158791"/>
      <w:r/>
      <w:bookmarkStart w:id="186" w:name="_Toc150774728"/>
      <w:r/>
      <w:bookmarkStart w:id="187" w:name="_Toc127151724"/>
      <w:r/>
      <w:bookmarkStart w:id="188" w:name="_Toc151193693"/>
      <w:r/>
      <w:bookmarkStart w:id="189" w:name="_Toc265228361"/>
      <w:r/>
      <w:bookmarkStart w:id="190" w:name="_Toc127161437"/>
      <w:r/>
      <w:bookmarkStart w:id="191" w:name="_Toc151193765"/>
      <w:r/>
      <w:bookmarkStart w:id="192" w:name="_Toc195842888"/>
      <w:r/>
      <w:bookmarkStart w:id="193" w:name="_Toc305158865"/>
      <w:r/>
      <w:bookmarkStart w:id="194" w:name="_Toc127151523"/>
      <w:r/>
      <w:bookmarkStart w:id="195" w:name="_Toc151193621"/>
      <w:r/>
      <w:bookmarkStart w:id="196" w:name="_Toc142311025"/>
      <w:r/>
      <w:bookmarkStart w:id="197" w:name="_Toc226965713"/>
      <w:r/>
      <w:bookmarkStart w:id="198" w:name="_Toc264969213"/>
      <w:r/>
      <w:bookmarkStart w:id="199" w:name="_Toc151193837"/>
      <w:r>
        <w:rPr>
          <w:rFonts w:hint="eastAsia" w:ascii="仿宋" w:hAnsi="仿宋" w:eastAsia="仿宋" w:cs="仿宋"/>
          <w:color w:val="000000"/>
          <w:sz w:val="21"/>
          <w:szCs w:val="21"/>
          <w:highlight w:val="none"/>
        </w:rPr>
        <w:t xml:space="preserve">7.招标文件构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仿宋" w:hAnsi="仿宋" w:eastAsia="仿宋" w:cs="仿宋"/>
          <w:color w:val="000000"/>
          <w:sz w:val="21"/>
          <w:szCs w:val="21"/>
          <w:highlight w:val="none"/>
        </w:rPr>
        <w:t xml:space="preserve">成</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7.1招标文件包括以下部分：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第一章 投标邀请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第二章 供应商须知</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第三章 资格审查</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第四章 评标程序、评标方法和评标标准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第五章 采购需求</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第六章 拟签订的合同文本</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第七章 投标文件格式</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7.2供应商应认真阅读招标文件的全部内容。供应商应按照招标文件要求提交投标文件并保证所提供的全部资料的真实性，并对招标文件做出实质性响应，否则投标无效。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8.对招标文件的澄清或修改</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8.1采购人或采购代理机构对已发出的招标文件进行必要澄清或者修改的，将在原公告发布媒体上以发布更正公告的形式通知所有获取招标文件的潜在供应商。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8.2澄清或者修改的内容为招标文件的组成部分，并对所有获取招标文件的潜在供应商具有约束力。澄清或者修改的内容可能影响投标文件编制的，将在投标截止时间至少15日前，以更正公告形式通知所有获取招标文件的潜在供应商；不足15日的，将顺延提交投标文件的截止时间和开标时间。</w:t>
      </w:r>
      <w:r>
        <w:rPr>
          <w:rFonts w:hint="eastAsia" w:ascii="仿宋" w:hAnsi="仿宋" w:eastAsia="仿宋" w:cs="仿宋"/>
          <w:color w:val="000000"/>
          <w:sz w:val="21"/>
          <w:szCs w:val="21"/>
          <w:highlight w:val="none"/>
        </w:rPr>
      </w:r>
      <w:r/>
    </w:p>
    <w:p>
      <w:pPr>
        <w:pStyle w:val="1218"/>
        <w:spacing w:before="0" w:line="360" w:lineRule="auto"/>
        <w:rPr>
          <w:rFonts w:hint="eastAsia" w:ascii="仿宋" w:hAnsi="仿宋" w:eastAsia="仿宋" w:cs="仿宋"/>
          <w:color w:val="000000"/>
          <w:sz w:val="21"/>
          <w:szCs w:val="21"/>
          <w:highlight w:val="none"/>
        </w:rPr>
      </w:pPr>
      <w:r/>
      <w:bookmarkStart w:id="200" w:name="_Toc195842891"/>
      <w:r/>
      <w:bookmarkStart w:id="201" w:name="_Toc151193696"/>
      <w:r/>
      <w:bookmarkStart w:id="202" w:name="_Toc150774626"/>
      <w:r/>
      <w:bookmarkStart w:id="203" w:name="_Toc520356150"/>
      <w:r/>
      <w:bookmarkStart w:id="204" w:name="_Toc226965799"/>
      <w:r/>
      <w:bookmarkStart w:id="205" w:name="_Toc151193624"/>
      <w:r/>
      <w:bookmarkStart w:id="206" w:name="_Toc305158868"/>
      <w:r/>
      <w:bookmarkStart w:id="207" w:name="_Toc516367020"/>
      <w:r/>
      <w:bookmarkStart w:id="208" w:name="_Toc226337222"/>
      <w:r/>
      <w:bookmarkStart w:id="209" w:name="_Toc151193914"/>
      <w:r/>
      <w:bookmarkStart w:id="210" w:name="_Toc305158794"/>
      <w:r/>
      <w:bookmarkStart w:id="211" w:name="_Toc151193840"/>
      <w:r/>
      <w:bookmarkStart w:id="212" w:name="_Toc127151526"/>
      <w:r/>
      <w:bookmarkStart w:id="213" w:name="_Toc142311028"/>
      <w:r/>
      <w:bookmarkStart w:id="214" w:name="_Toc151193768"/>
      <w:r/>
      <w:bookmarkStart w:id="215" w:name="_Toc151190153"/>
      <w:r/>
      <w:bookmarkStart w:id="216" w:name="_Toc150480764"/>
      <w:r/>
      <w:bookmarkStart w:id="217" w:name="_Toc226309770"/>
      <w:r/>
      <w:bookmarkStart w:id="218" w:name="_Toc265228364"/>
      <w:r/>
      <w:bookmarkStart w:id="219" w:name="_Toc150509277"/>
      <w:r/>
      <w:bookmarkStart w:id="220" w:name="_Toc264969216"/>
      <w:r/>
      <w:bookmarkStart w:id="221" w:name="_Toc226965716"/>
      <w:r/>
      <w:bookmarkStart w:id="222" w:name="_Toc150774731"/>
      <w:r>
        <w:rPr>
          <w:rFonts w:hint="eastAsia" w:ascii="仿宋" w:hAnsi="仿宋" w:eastAsia="仿宋" w:cs="仿宋"/>
          <w:color w:val="000000"/>
          <w:sz w:val="21"/>
          <w:szCs w:val="21"/>
          <w:highlight w:val="none"/>
        </w:rPr>
        <w:t xml:space="preserve">三   投标文件</w:t>
      </w:r>
      <w:bookmarkEnd w:id="207"/>
      <w:r>
        <w:rPr>
          <w:rFonts w:hint="eastAsia" w:ascii="仿宋" w:hAnsi="仿宋" w:eastAsia="仿宋" w:cs="仿宋"/>
          <w:color w:val="000000"/>
          <w:sz w:val="21"/>
          <w:szCs w:val="21"/>
          <w:highlight w:val="none"/>
        </w:rPr>
        <w:t xml:space="preserve">的编制</w:t>
      </w:r>
      <w:bookmarkEnd w:id="200"/>
      <w:r/>
      <w:bookmarkEnd w:id="201"/>
      <w:r/>
      <w:bookmarkEnd w:id="202"/>
      <w:r/>
      <w:bookmarkEnd w:id="203"/>
      <w:r/>
      <w:bookmarkEnd w:id="204"/>
      <w:r/>
      <w:bookmarkEnd w:id="205"/>
      <w:r/>
      <w:bookmarkEnd w:id="206"/>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223" w:name="_Toc151193769"/>
      <w:r/>
      <w:bookmarkStart w:id="224" w:name="_Toc226965717"/>
      <w:r/>
      <w:bookmarkStart w:id="225" w:name="_Toc164229368"/>
      <w:r/>
      <w:bookmarkStart w:id="226" w:name="_Toc164608796"/>
      <w:r/>
      <w:bookmarkStart w:id="227" w:name="_Toc264969217"/>
      <w:r/>
      <w:bookmarkStart w:id="228" w:name="_Toc151190154"/>
      <w:r/>
      <w:bookmarkStart w:id="229" w:name="_Toc164608641"/>
      <w:r/>
      <w:bookmarkStart w:id="230" w:name="_Toc150774732"/>
      <w:r/>
      <w:bookmarkStart w:id="231" w:name="_Toc520356151"/>
      <w:r/>
      <w:bookmarkStart w:id="232" w:name="_Toc127161441"/>
      <w:r/>
      <w:bookmarkStart w:id="233" w:name="_Toc226965800"/>
      <w:r/>
      <w:bookmarkStart w:id="234" w:name="_Toc151193915"/>
      <w:r/>
      <w:bookmarkStart w:id="235" w:name="_Toc149720820"/>
      <w:r/>
      <w:bookmarkStart w:id="236" w:name="_Toc127151527"/>
      <w:r/>
      <w:bookmarkStart w:id="237" w:name="_Toc226337223"/>
      <w:r/>
      <w:bookmarkStart w:id="238" w:name="_Toc164351621"/>
      <w:r/>
      <w:bookmarkStart w:id="239" w:name="_Toc127151728"/>
      <w:r/>
      <w:bookmarkStart w:id="240" w:name="_Toc226309771"/>
      <w:r/>
      <w:bookmarkStart w:id="241" w:name="_Toc150480765"/>
      <w:r/>
      <w:bookmarkStart w:id="242" w:name="_Toc150509278"/>
      <w:r/>
      <w:bookmarkStart w:id="243" w:name="_Toc195842892"/>
      <w:r/>
      <w:bookmarkStart w:id="244" w:name="_Toc151193697"/>
      <w:r/>
      <w:bookmarkStart w:id="245" w:name="_Toc150774627"/>
      <w:r/>
      <w:bookmarkStart w:id="246" w:name="_Toc142311029"/>
      <w:r/>
      <w:bookmarkStart w:id="247" w:name="_Toc305158869"/>
      <w:r/>
      <w:bookmarkStart w:id="248" w:name="_Toc305158795"/>
      <w:r/>
      <w:bookmarkStart w:id="249" w:name="_Toc516367021"/>
      <w:r/>
      <w:bookmarkStart w:id="250" w:name="_Toc151193841"/>
      <w:r/>
      <w:bookmarkStart w:id="251" w:name="_Toc151193625"/>
      <w:r/>
      <w:bookmarkStart w:id="252" w:name="_Toc164229222"/>
      <w:r/>
      <w:bookmarkStart w:id="253" w:name="_Toc265228365"/>
      <w:r>
        <w:rPr>
          <w:rFonts w:hint="eastAsia" w:ascii="仿宋" w:hAnsi="仿宋" w:eastAsia="仿宋" w:cs="仿宋"/>
          <w:color w:val="000000"/>
          <w:sz w:val="21"/>
          <w:szCs w:val="21"/>
          <w:highlight w:val="none"/>
        </w:rPr>
        <w:t xml:space="preserve">9.投标范围、投标文件中计量单位的使用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仿宋" w:hAnsi="仿宋" w:eastAsia="仿宋" w:cs="仿宋"/>
          <w:color w:val="000000"/>
          <w:sz w:val="21"/>
          <w:szCs w:val="21"/>
          <w:highlight w:val="none"/>
        </w:rPr>
        <w:t xml:space="preserve">及投标语言</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9.1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无效投标。</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9.2除招标文件有特殊要求外，本项目投标所使用的计量单位，应采用中华人民共和国法定计量单位。</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9.3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254" w:name="_Toc151190155"/>
      <w:r/>
      <w:bookmarkStart w:id="255" w:name="_Toc195842893"/>
      <w:r/>
      <w:bookmarkStart w:id="256" w:name="_Toc127151729"/>
      <w:r/>
      <w:bookmarkStart w:id="257" w:name="_Toc149720821"/>
      <w:r/>
      <w:bookmarkStart w:id="258" w:name="_Toc164229369"/>
      <w:r/>
      <w:bookmarkStart w:id="259" w:name="_Toc305158870"/>
      <w:r/>
      <w:bookmarkStart w:id="260" w:name="_Toc226965801"/>
      <w:r/>
      <w:bookmarkStart w:id="261" w:name="_Toc151193916"/>
      <w:r/>
      <w:bookmarkStart w:id="262" w:name="_Toc164351622"/>
      <w:r/>
      <w:bookmarkStart w:id="263" w:name="_Toc226965718"/>
      <w:r/>
      <w:bookmarkStart w:id="264" w:name="_Toc142311030"/>
      <w:r/>
      <w:bookmarkStart w:id="265" w:name="_Toc151193698"/>
      <w:r/>
      <w:bookmarkStart w:id="266" w:name="_Toc520356152"/>
      <w:r/>
      <w:bookmarkStart w:id="267" w:name="_Ref467306195"/>
      <w:r/>
      <w:bookmarkStart w:id="268" w:name="_Toc516367022"/>
      <w:r/>
      <w:bookmarkStart w:id="269" w:name="_Toc151193626"/>
      <w:r/>
      <w:bookmarkStart w:id="270" w:name="_Ref467306676"/>
      <w:r/>
      <w:bookmarkStart w:id="271" w:name="_Toc127161442"/>
      <w:r/>
      <w:bookmarkStart w:id="272" w:name="_Toc305158796"/>
      <w:r/>
      <w:bookmarkStart w:id="273" w:name="_Toc164608797"/>
      <w:r/>
      <w:bookmarkStart w:id="274" w:name="_Toc164608642"/>
      <w:r/>
      <w:bookmarkStart w:id="275" w:name="_Toc151193842"/>
      <w:r/>
      <w:bookmarkStart w:id="276" w:name="_Toc150774628"/>
      <w:r/>
      <w:bookmarkStart w:id="277" w:name="_Toc164229223"/>
      <w:r/>
      <w:bookmarkStart w:id="278" w:name="_Toc264969218"/>
      <w:r/>
      <w:bookmarkStart w:id="279" w:name="_Toc226337224"/>
      <w:r/>
      <w:bookmarkStart w:id="280" w:name="_Toc150774733"/>
      <w:r/>
      <w:bookmarkStart w:id="281" w:name="_Toc265228366"/>
      <w:r/>
      <w:bookmarkStart w:id="282" w:name="_Toc226309772"/>
      <w:r/>
      <w:bookmarkStart w:id="283" w:name="_Toc151193770"/>
      <w:r/>
      <w:bookmarkStart w:id="284" w:name="_Toc150480766"/>
      <w:r/>
      <w:bookmarkStart w:id="285" w:name="_Toc127151528"/>
      <w:r/>
      <w:bookmarkStart w:id="286" w:name="_Toc150509279"/>
      <w:r>
        <w:rPr>
          <w:rFonts w:hint="eastAsia" w:ascii="仿宋" w:hAnsi="仿宋" w:eastAsia="仿宋" w:cs="仿宋"/>
          <w:color w:val="000000"/>
          <w:sz w:val="21"/>
          <w:szCs w:val="21"/>
          <w:highlight w:val="none"/>
        </w:rPr>
        <w:t xml:space="preserve">10.投标文件</w:t>
      </w:r>
      <w:bookmarkEnd w:id="267"/>
      <w:r/>
      <w:bookmarkEnd w:id="268"/>
      <w:r/>
      <w:bookmarkEnd w:id="270"/>
      <w:r>
        <w:rPr>
          <w:rFonts w:hint="eastAsia" w:ascii="仿宋" w:hAnsi="仿宋" w:eastAsia="仿宋" w:cs="仿宋"/>
          <w:color w:val="000000"/>
          <w:sz w:val="21"/>
          <w:szCs w:val="21"/>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9"/>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287" w:name="_Ref467052588"/>
      <w:r>
        <w:rPr>
          <w:rFonts w:hint="eastAsia" w:ascii="仿宋" w:hAnsi="仿宋" w:eastAsia="仿宋" w:cs="仿宋"/>
          <w:color w:val="000000"/>
          <w:sz w:val="21"/>
          <w:szCs w:val="21"/>
          <w:highlight w:val="none"/>
        </w:rPr>
        <w:t xml:space="preserve">10.1供应商应当按照招标文件的要求编制投标文件。投标文件应由《资格证明文件》、《商务技术文件》两部分构成。投标文件的部分格式要求，见第七章《投标文件格式》。</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供应商自行编写。</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10.3第四章《评标程序、评标方法和评标标准》中涉及的证明文件。</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10.4对照第五章《采购需求》，说明所提供货物和服务已对第五章《采购需求》做出了响应，或申明与第五章《采购需求》的偏差和例外。如第五章《采购需求》中要求提供证明文件的，供应商应当按具体要求提供证明文件。</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10.5供应商认为应附的其他材料。</w:t>
      </w:r>
      <w:bookmarkEnd w:id="287"/>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288" w:name="_Toc151193772"/>
      <w:r/>
      <w:bookmarkStart w:id="289" w:name="_Toc127151530"/>
      <w:r/>
      <w:bookmarkStart w:id="290" w:name="_Toc164229225"/>
      <w:r/>
      <w:bookmarkStart w:id="291" w:name="_Toc164229371"/>
      <w:r/>
      <w:bookmarkStart w:id="292" w:name="_Toc149720823"/>
      <w:r/>
      <w:bookmarkStart w:id="293" w:name="_Toc150509281"/>
      <w:r/>
      <w:bookmarkStart w:id="294" w:name="_Toc151190157"/>
      <w:r/>
      <w:bookmarkStart w:id="295" w:name="_Toc142311032"/>
      <w:r/>
      <w:bookmarkStart w:id="296" w:name="_Toc127151731"/>
      <w:r/>
      <w:bookmarkStart w:id="297" w:name="_Toc150774630"/>
      <w:r/>
      <w:bookmarkStart w:id="298" w:name="_Toc164608799"/>
      <w:r/>
      <w:bookmarkStart w:id="299" w:name="_Toc164608644"/>
      <w:r/>
      <w:bookmarkStart w:id="300" w:name="_Toc520356155"/>
      <w:r/>
      <w:bookmarkStart w:id="301" w:name="_Toc151193628"/>
      <w:r/>
      <w:bookmarkStart w:id="302" w:name="_Toc195842895"/>
      <w:r/>
      <w:bookmarkStart w:id="303" w:name="_Toc151193918"/>
      <w:r/>
      <w:bookmarkStart w:id="304" w:name="_Toc151193700"/>
      <w:r/>
      <w:bookmarkStart w:id="305" w:name="_Toc150774735"/>
      <w:r/>
      <w:bookmarkStart w:id="306" w:name="_Toc164351624"/>
      <w:r/>
      <w:bookmarkStart w:id="307" w:name="_Toc127161444"/>
      <w:r/>
      <w:bookmarkStart w:id="308" w:name="_Toc151193844"/>
      <w:r/>
      <w:bookmarkStart w:id="309" w:name="_Toc150480768"/>
      <w:r>
        <w:rPr>
          <w:rFonts w:hint="eastAsia" w:ascii="仿宋" w:hAnsi="仿宋" w:eastAsia="仿宋" w:cs="仿宋"/>
          <w:color w:val="000000"/>
          <w:sz w:val="21"/>
          <w:szCs w:val="21"/>
          <w:highlight w:val="none"/>
        </w:rPr>
        <w:t xml:space="preserve">11.投标报价</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11.1所有投标均以人民币报价。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11.2供应商的报价应包括为完成本项目所发生的一切费用和税费，采购人将不再支付报价以外的任何费用。供应商的报价应包括但不限于下列内容，《供应商须知资料表》中有特殊规定的，从其规定。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仿宋" w:hAnsi="仿宋" w:eastAsia="仿宋" w:cs="仿宋"/>
          <w:color w:val="000000"/>
          <w:sz w:val="21"/>
          <w:szCs w:val="21"/>
          <w:highlight w:val="none"/>
        </w:rPr>
      </w:r>
      <w:r/>
    </w:p>
    <w:p>
      <w:pPr>
        <w:pStyle w:val="1032"/>
        <w:ind w:firstLine="42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rPr>
        <w:t xml:space="preserve">11.2.2按照招标文件要求完成本项目的全部相关服务费用。</w:t>
      </w:r>
      <w:r>
        <w:rPr>
          <w:rFonts w:hint="eastAsia" w:ascii="仿宋" w:hAnsi="仿宋" w:eastAsia="仿宋" w:cs="仿宋"/>
          <w:color w:val="000000"/>
          <w:szCs w:val="21"/>
          <w:highlight w:val="none"/>
        </w:rPr>
        <w:t xml:space="preserve">本项目用餐标准费用为固定包干</w:t>
      </w:r>
      <w:r>
        <w:rPr>
          <w:rFonts w:hint="eastAsia" w:ascii="仿宋" w:hAnsi="仿宋" w:eastAsia="仿宋" w:cs="仿宋"/>
          <w:color w:val="000000"/>
          <w:szCs w:val="21"/>
          <w:highlight w:val="none"/>
          <w:lang w:val="en-US" w:eastAsia="zh-CN"/>
        </w:rPr>
        <w:t xml:space="preserve">单</w:t>
      </w:r>
      <w:r>
        <w:rPr>
          <w:rFonts w:hint="eastAsia" w:ascii="仿宋" w:hAnsi="仿宋" w:eastAsia="仿宋" w:cs="仿宋"/>
          <w:color w:val="000000"/>
          <w:szCs w:val="21"/>
          <w:highlight w:val="none"/>
        </w:rPr>
        <w:t xml:space="preserve">价</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用餐标准费用</w:t>
      </w:r>
      <w:r>
        <w:rPr>
          <w:rFonts w:hint="eastAsia" w:ascii="仿宋" w:hAnsi="仿宋" w:eastAsia="仿宋" w:cs="仿宋"/>
          <w:color w:val="000000"/>
          <w:szCs w:val="21"/>
          <w:highlight w:val="none"/>
          <w:lang w:val="en-US" w:eastAsia="zh-CN"/>
        </w:rPr>
        <w:t xml:space="preserve">单价</w:t>
      </w:r>
      <w:r>
        <w:rPr>
          <w:rFonts w:hint="eastAsia" w:ascii="仿宋" w:hAnsi="仿宋" w:eastAsia="仿宋" w:cs="仿宋"/>
          <w:color w:val="000000"/>
          <w:szCs w:val="21"/>
          <w:highlight w:val="none"/>
        </w:rPr>
        <w:t xml:space="preserve">已包含完成本项目</w:t>
      </w:r>
      <w:r>
        <w:rPr>
          <w:rFonts w:hint="eastAsia" w:ascii="仿宋" w:hAnsi="仿宋" w:eastAsia="仿宋" w:cs="仿宋"/>
          <w:color w:val="000000"/>
          <w:szCs w:val="21"/>
          <w:highlight w:val="none"/>
          <w:lang w:val="en-US" w:eastAsia="zh-CN"/>
        </w:rPr>
        <w:t xml:space="preserve">各单餐</w:t>
      </w:r>
      <w:r>
        <w:rPr>
          <w:rFonts w:hint="eastAsia" w:ascii="仿宋" w:hAnsi="仿宋" w:eastAsia="仿宋" w:cs="仿宋"/>
          <w:color w:val="000000"/>
          <w:szCs w:val="21"/>
          <w:highlight w:val="none"/>
        </w:rPr>
        <w:t xml:space="preserve">用餐服务所涉及的全部费用，无任何</w:t>
      </w:r>
      <w:r>
        <w:rPr>
          <w:rFonts w:hint="eastAsia" w:ascii="仿宋" w:hAnsi="仿宋" w:eastAsia="仿宋" w:cs="仿宋"/>
          <w:color w:val="000000"/>
          <w:szCs w:val="21"/>
          <w:highlight w:val="none"/>
          <w:lang w:eastAsia="zh-CN"/>
        </w:rPr>
        <w:t xml:space="preserve">隐性</w:t>
      </w:r>
      <w:r>
        <w:rPr>
          <w:rFonts w:hint="eastAsia" w:ascii="仿宋" w:hAnsi="仿宋" w:eastAsia="仿宋" w:cs="仿宋"/>
          <w:color w:val="000000"/>
          <w:szCs w:val="21"/>
          <w:highlight w:val="none"/>
        </w:rPr>
        <w:t xml:space="preserve">费用，采购人不再支付其他任何费用。同时，除非合同条款中另有规定，否则，成交供应商所报价格在合同履行期间不因市场变化因素而变动。</w:t>
      </w:r>
      <w:r>
        <w:rPr>
          <w:rFonts w:hint="eastAsia" w:ascii="仿宋" w:hAnsi="仿宋" w:eastAsia="仿宋" w:cs="仿宋"/>
          <w:color w:val="000000"/>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11.3采购人不得向供应商索要或者接受其给予的赠品、回扣或者与采购无关的其他商品、服务。</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11.4供应商不能提供任何有选择性或可调整的报价，否则其投标无效。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310" w:name="_Toc164229226"/>
      <w:r/>
      <w:bookmarkStart w:id="311" w:name="_Toc520356156"/>
      <w:r/>
      <w:bookmarkStart w:id="312" w:name="_Toc151190158"/>
      <w:r/>
      <w:bookmarkStart w:id="313" w:name="_Toc142311033"/>
      <w:r/>
      <w:bookmarkStart w:id="314" w:name="_Toc164608800"/>
      <w:r/>
      <w:bookmarkStart w:id="315" w:name="_Toc164608645"/>
      <w:r/>
      <w:bookmarkStart w:id="316" w:name="_Toc151193773"/>
      <w:r/>
      <w:bookmarkStart w:id="317" w:name="_Toc305158799"/>
      <w:r/>
      <w:bookmarkStart w:id="318" w:name="_Toc151193919"/>
      <w:r/>
      <w:bookmarkStart w:id="319" w:name="_Toc151193701"/>
      <w:r/>
      <w:bookmarkStart w:id="320" w:name="_Toc305158873"/>
      <w:r/>
      <w:bookmarkStart w:id="321" w:name="_Toc164229372"/>
      <w:r/>
      <w:bookmarkStart w:id="322" w:name="_Toc150509282"/>
      <w:r/>
      <w:bookmarkStart w:id="323" w:name="_Toc164351625"/>
      <w:r/>
      <w:bookmarkStart w:id="324" w:name="_Toc150774631"/>
      <w:r/>
      <w:bookmarkStart w:id="325" w:name="_Toc195842896"/>
      <w:r/>
      <w:bookmarkStart w:id="326" w:name="_Toc127151531"/>
      <w:r/>
      <w:bookmarkStart w:id="327" w:name="_Toc226337227"/>
      <w:r/>
      <w:bookmarkStart w:id="328" w:name="_Toc226309775"/>
      <w:r/>
      <w:bookmarkStart w:id="329" w:name="_Toc150774736"/>
      <w:r/>
      <w:bookmarkStart w:id="330" w:name="_Toc226965804"/>
      <w:r/>
      <w:bookmarkStart w:id="331" w:name="_Ref467306513"/>
      <w:r/>
      <w:bookmarkStart w:id="332" w:name="_Toc265228369"/>
      <w:r/>
      <w:bookmarkStart w:id="333" w:name="_Toc127161445"/>
      <w:r/>
      <w:bookmarkStart w:id="334" w:name="_Toc127151732"/>
      <w:r/>
      <w:bookmarkStart w:id="335" w:name="_Toc150480769"/>
      <w:r/>
      <w:bookmarkStart w:id="336" w:name="_Toc149720824"/>
      <w:r/>
      <w:bookmarkStart w:id="337" w:name="_Toc226965721"/>
      <w:r/>
      <w:bookmarkStart w:id="338" w:name="_Toc264969221"/>
      <w:r/>
      <w:bookmarkStart w:id="339" w:name="_Toc151193629"/>
      <w:r/>
      <w:bookmarkStart w:id="340" w:name="_Toc151193845"/>
      <w:r>
        <w:rPr>
          <w:rFonts w:hint="eastAsia" w:ascii="仿宋" w:hAnsi="仿宋" w:eastAsia="仿宋" w:cs="仿宋"/>
          <w:color w:val="000000"/>
          <w:sz w:val="21"/>
          <w:szCs w:val="21"/>
          <w:highlight w:val="none"/>
        </w:rPr>
        <w:t xml:space="preserve">12.投标保证金</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12.1根据江苏省和常州市的相关文件规定，免收投标保证金。</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341" w:name="_Toc127151733"/>
      <w:r/>
      <w:bookmarkStart w:id="342" w:name="_Toc151193920"/>
      <w:r/>
      <w:bookmarkStart w:id="343" w:name="_Toc195842897"/>
      <w:r/>
      <w:bookmarkStart w:id="344" w:name="_Toc226337228"/>
      <w:r/>
      <w:bookmarkStart w:id="345" w:name="_Toc151190159"/>
      <w:r/>
      <w:bookmarkStart w:id="346" w:name="_Toc151193702"/>
      <w:r/>
      <w:bookmarkStart w:id="347" w:name="_Toc150774632"/>
      <w:r/>
      <w:bookmarkStart w:id="348" w:name="_Toc127161446"/>
      <w:r/>
      <w:bookmarkStart w:id="349" w:name="_Toc265228370"/>
      <w:r/>
      <w:bookmarkStart w:id="350" w:name="_Toc226309776"/>
      <w:r/>
      <w:bookmarkStart w:id="351" w:name="_Toc164608801"/>
      <w:r/>
      <w:bookmarkStart w:id="352" w:name="_Toc142311034"/>
      <w:r/>
      <w:bookmarkStart w:id="353" w:name="_Toc164351626"/>
      <w:r/>
      <w:bookmarkStart w:id="354" w:name="_Toc151193774"/>
      <w:r/>
      <w:bookmarkStart w:id="355" w:name="_Toc305158800"/>
      <w:r/>
      <w:bookmarkStart w:id="356" w:name="_Toc305158874"/>
      <w:r/>
      <w:bookmarkStart w:id="357" w:name="_Toc264969222"/>
      <w:r/>
      <w:bookmarkStart w:id="358" w:name="_Toc164229227"/>
      <w:r/>
      <w:bookmarkStart w:id="359" w:name="_Toc226965805"/>
      <w:r/>
      <w:bookmarkStart w:id="360" w:name="_Toc164608646"/>
      <w:r/>
      <w:bookmarkStart w:id="361" w:name="_Toc150774737"/>
      <w:r/>
      <w:bookmarkStart w:id="362" w:name="_Toc226965722"/>
      <w:r/>
      <w:bookmarkStart w:id="363" w:name="_Toc150480770"/>
      <w:r/>
      <w:bookmarkStart w:id="364" w:name="_Toc149720825"/>
      <w:r/>
      <w:bookmarkStart w:id="365" w:name="_Toc520356157"/>
      <w:r/>
      <w:bookmarkStart w:id="366" w:name="_Toc151193846"/>
      <w:r/>
      <w:bookmarkStart w:id="367" w:name="_Toc164229373"/>
      <w:r/>
      <w:bookmarkStart w:id="368" w:name="_Toc151193630"/>
      <w:r/>
      <w:bookmarkStart w:id="369" w:name="_Toc127151532"/>
      <w:r/>
      <w:bookmarkStart w:id="370" w:name="_Toc150509283"/>
      <w:r>
        <w:rPr>
          <w:rFonts w:hint="eastAsia" w:ascii="仿宋" w:hAnsi="仿宋" w:eastAsia="仿宋" w:cs="仿宋"/>
          <w:color w:val="000000"/>
          <w:sz w:val="21"/>
          <w:szCs w:val="21"/>
          <w:highlight w:val="none"/>
        </w:rPr>
        <w:t xml:space="preserve">13.投标有效期</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13.1投标文件应在本招标文件《供应商须知资料表》中规定的投标有效期内保持有效，投标有效期少于招标文件规定期限的，其投标无效。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371" w:name="_Toc164608802"/>
      <w:r/>
      <w:bookmarkStart w:id="372" w:name="_Toc127151533"/>
      <w:r/>
      <w:bookmarkStart w:id="373" w:name="_Toc127151734"/>
      <w:r/>
      <w:bookmarkStart w:id="374" w:name="_Toc149720826"/>
      <w:r/>
      <w:bookmarkStart w:id="375" w:name="_Toc264969223"/>
      <w:r/>
      <w:bookmarkStart w:id="376" w:name="_Toc164229374"/>
      <w:r/>
      <w:bookmarkStart w:id="377" w:name="_Toc226309777"/>
      <w:r/>
      <w:bookmarkStart w:id="378" w:name="_Toc150774738"/>
      <w:r/>
      <w:bookmarkStart w:id="379" w:name="_Toc127161447"/>
      <w:r/>
      <w:bookmarkStart w:id="380" w:name="_Toc151193775"/>
      <w:r/>
      <w:bookmarkStart w:id="381" w:name="_Toc195842898"/>
      <w:r/>
      <w:bookmarkStart w:id="382" w:name="_Toc305158801"/>
      <w:r/>
      <w:bookmarkStart w:id="383" w:name="_Toc151193847"/>
      <w:r/>
      <w:bookmarkStart w:id="384" w:name="_Toc151193703"/>
      <w:r/>
      <w:bookmarkStart w:id="385" w:name="_Toc164351627"/>
      <w:r/>
      <w:bookmarkStart w:id="386" w:name="_Toc150480771"/>
      <w:r/>
      <w:bookmarkStart w:id="387" w:name="_Toc305158875"/>
      <w:r/>
      <w:bookmarkStart w:id="388" w:name="_Toc142311035"/>
      <w:r/>
      <w:bookmarkStart w:id="389" w:name="_Toc265228371"/>
      <w:r/>
      <w:bookmarkStart w:id="390" w:name="_Toc151193921"/>
      <w:r/>
      <w:bookmarkStart w:id="391" w:name="_Toc151193631"/>
      <w:r/>
      <w:bookmarkStart w:id="392" w:name="_Toc151190160"/>
      <w:r/>
      <w:bookmarkStart w:id="393" w:name="_Toc520356158"/>
      <w:r/>
      <w:bookmarkStart w:id="394" w:name="_Toc226965723"/>
      <w:r/>
      <w:bookmarkStart w:id="395" w:name="_Toc226337229"/>
      <w:r/>
      <w:bookmarkStart w:id="396" w:name="_Toc150509284"/>
      <w:r/>
      <w:bookmarkStart w:id="397" w:name="_Toc164229228"/>
      <w:r/>
      <w:bookmarkStart w:id="398" w:name="_Toc164608647"/>
      <w:r/>
      <w:bookmarkStart w:id="399" w:name="_Toc226965806"/>
      <w:r/>
      <w:bookmarkStart w:id="400" w:name="_Toc150774633"/>
      <w:r>
        <w:rPr>
          <w:rFonts w:hint="eastAsia" w:ascii="仿宋" w:hAnsi="仿宋" w:eastAsia="仿宋" w:cs="仿宋"/>
          <w:color w:val="000000"/>
          <w:sz w:val="21"/>
          <w:szCs w:val="21"/>
          <w:highlight w:val="none"/>
        </w:rPr>
        <w:t xml:space="preserve">14.投标文件的签署</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仿宋" w:hAnsi="仿宋" w:eastAsia="仿宋" w:cs="仿宋"/>
          <w:color w:val="000000"/>
          <w:sz w:val="21"/>
          <w:szCs w:val="21"/>
          <w:highlight w:val="none"/>
        </w:rPr>
        <w:t xml:space="preserve">、加盖公章</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401" w:name="_Toc151193848"/>
      <w:r/>
      <w:bookmarkStart w:id="402" w:name="_Toc520356159"/>
      <w:r/>
      <w:bookmarkStart w:id="403" w:name="_Toc151193632"/>
      <w:r/>
      <w:bookmarkStart w:id="404" w:name="_Toc151190161"/>
      <w:r/>
      <w:bookmarkStart w:id="405" w:name="_Toc127151534"/>
      <w:r/>
      <w:bookmarkStart w:id="406" w:name="_Toc265228372"/>
      <w:r/>
      <w:bookmarkStart w:id="407" w:name="_Toc305158802"/>
      <w:r/>
      <w:bookmarkStart w:id="408" w:name="_Toc226965807"/>
      <w:r/>
      <w:bookmarkStart w:id="409" w:name="_Toc264969224"/>
      <w:r/>
      <w:bookmarkStart w:id="410" w:name="_Toc150774634"/>
      <w:r/>
      <w:bookmarkStart w:id="411" w:name="_Toc151193922"/>
      <w:r/>
      <w:bookmarkStart w:id="412" w:name="_Toc226337230"/>
      <w:r/>
      <w:bookmarkStart w:id="413" w:name="_Toc150509285"/>
      <w:r/>
      <w:bookmarkStart w:id="414" w:name="_Toc151193776"/>
      <w:r/>
      <w:bookmarkStart w:id="415" w:name="_Toc226965724"/>
      <w:r/>
      <w:bookmarkStart w:id="416" w:name="_Toc150480772"/>
      <w:r/>
      <w:bookmarkStart w:id="417" w:name="_Toc142311036"/>
      <w:r/>
      <w:bookmarkStart w:id="418" w:name="_Toc150774739"/>
      <w:r/>
      <w:bookmarkStart w:id="419" w:name="_Toc305158876"/>
      <w:r/>
      <w:bookmarkStart w:id="420" w:name="_Toc195842899"/>
      <w:r/>
      <w:bookmarkStart w:id="421" w:name="_Toc226309778"/>
      <w:r/>
      <w:bookmarkStart w:id="422" w:name="_Toc151193704"/>
      <w:r>
        <w:rPr>
          <w:rFonts w:hint="eastAsia" w:ascii="仿宋" w:hAnsi="仿宋" w:eastAsia="仿宋" w:cs="仿宋"/>
          <w:color w:val="000000"/>
          <w:sz w:val="21"/>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招标文件要求加盖公章的内容，一般通过投标文件编制工具加盖电子签章。</w:t>
      </w:r>
      <w:r>
        <w:rPr>
          <w:rFonts w:hint="eastAsia" w:ascii="仿宋" w:hAnsi="仿宋" w:eastAsia="仿宋" w:cs="仿宋"/>
          <w:color w:val="000000"/>
          <w:sz w:val="21"/>
          <w:szCs w:val="21"/>
          <w:highlight w:val="none"/>
        </w:rPr>
      </w:r>
      <w:r/>
    </w:p>
    <w:p>
      <w:pPr>
        <w:pStyle w:val="1218"/>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   投标文件的提交</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423" w:name="_Toc151190163"/>
      <w:r/>
      <w:bookmarkStart w:id="424" w:name="_Toc265228374"/>
      <w:r/>
      <w:bookmarkStart w:id="425" w:name="_Toc142311038"/>
      <w:r/>
      <w:bookmarkStart w:id="426" w:name="_Toc520356161"/>
      <w:r/>
      <w:bookmarkStart w:id="427" w:name="_Toc195842901"/>
      <w:r/>
      <w:bookmarkStart w:id="428" w:name="_Toc127161450"/>
      <w:r/>
      <w:bookmarkStart w:id="429" w:name="_Toc150774636"/>
      <w:r/>
      <w:bookmarkStart w:id="430" w:name="_Toc151193706"/>
      <w:r/>
      <w:bookmarkStart w:id="431" w:name="_Toc151193850"/>
      <w:r/>
      <w:bookmarkStart w:id="432" w:name="_Toc151193924"/>
      <w:r/>
      <w:bookmarkStart w:id="433" w:name="_Toc164608805"/>
      <w:r/>
      <w:bookmarkStart w:id="434" w:name="_Toc150509287"/>
      <w:r/>
      <w:bookmarkStart w:id="435" w:name="_Toc164229231"/>
      <w:r/>
      <w:bookmarkStart w:id="436" w:name="_Toc305158804"/>
      <w:r/>
      <w:bookmarkStart w:id="437" w:name="_Toc226965726"/>
      <w:r/>
      <w:bookmarkStart w:id="438" w:name="_Toc305158878"/>
      <w:r/>
      <w:bookmarkStart w:id="439" w:name="_Toc150774741"/>
      <w:r/>
      <w:bookmarkStart w:id="440" w:name="_Toc164351630"/>
      <w:r/>
      <w:bookmarkStart w:id="441" w:name="_Toc127151737"/>
      <w:r/>
      <w:bookmarkStart w:id="442" w:name="_Toc226337232"/>
      <w:r/>
      <w:bookmarkStart w:id="443" w:name="_Toc149720829"/>
      <w:r/>
      <w:bookmarkStart w:id="444" w:name="_Toc151193634"/>
      <w:r/>
      <w:bookmarkStart w:id="445" w:name="_Toc264969226"/>
      <w:r/>
      <w:bookmarkStart w:id="446" w:name="_Toc150480774"/>
      <w:r/>
      <w:bookmarkStart w:id="447" w:name="_Toc226965809"/>
      <w:r/>
      <w:bookmarkStart w:id="448" w:name="_Toc127151536"/>
      <w:r/>
      <w:bookmarkStart w:id="449" w:name="_Toc164229377"/>
      <w:r/>
      <w:bookmarkStart w:id="450" w:name="_Toc164608650"/>
      <w:r/>
      <w:bookmarkStart w:id="451" w:name="_Toc226309780"/>
      <w:r/>
      <w:bookmarkStart w:id="452" w:name="_Toc151193778"/>
      <w:r/>
      <w:bookmarkStart w:id="453" w:name="_Toc264969228"/>
      <w:r/>
      <w:bookmarkStart w:id="454" w:name="_Toc151193926"/>
      <w:r/>
      <w:bookmarkStart w:id="455" w:name="_Toc142311040"/>
      <w:r/>
      <w:bookmarkStart w:id="456" w:name="_Toc226965728"/>
      <w:r/>
      <w:bookmarkStart w:id="457" w:name="_Toc520356163"/>
      <w:r/>
      <w:bookmarkStart w:id="458" w:name="_Toc127151538"/>
      <w:r/>
      <w:bookmarkStart w:id="459" w:name="_Toc150774638"/>
      <w:r/>
      <w:bookmarkStart w:id="460" w:name="_Toc265228376"/>
      <w:r/>
      <w:bookmarkStart w:id="461" w:name="_Toc151193708"/>
      <w:r/>
      <w:bookmarkStart w:id="462" w:name="_Toc226309782"/>
      <w:r/>
      <w:bookmarkStart w:id="463" w:name="_Toc150480776"/>
      <w:r/>
      <w:bookmarkStart w:id="464" w:name="_Toc195842903"/>
      <w:r/>
      <w:bookmarkStart w:id="465" w:name="_Toc150509289"/>
      <w:r/>
      <w:bookmarkStart w:id="466" w:name="_Toc151193852"/>
      <w:r/>
      <w:bookmarkStart w:id="467" w:name="_Toc305158880"/>
      <w:r/>
      <w:bookmarkStart w:id="468" w:name="_Toc226337234"/>
      <w:r/>
      <w:bookmarkStart w:id="469" w:name="_Toc150774743"/>
      <w:r/>
      <w:bookmarkStart w:id="470" w:name="_Toc226965811"/>
      <w:r/>
      <w:bookmarkStart w:id="471" w:name="_Toc151193780"/>
      <w:r/>
      <w:bookmarkStart w:id="472" w:name="_Toc151193636"/>
      <w:r/>
      <w:bookmarkStart w:id="473" w:name="_Toc305158806"/>
      <w:r/>
      <w:bookmarkStart w:id="474" w:name="_Toc151190165"/>
      <w:r>
        <w:rPr>
          <w:rFonts w:hint="eastAsia" w:ascii="仿宋" w:hAnsi="仿宋" w:eastAsia="仿宋" w:cs="仿宋"/>
          <w:color w:val="000000"/>
          <w:sz w:val="21"/>
          <w:szCs w:val="21"/>
          <w:highlight w:val="none"/>
        </w:rPr>
        <w:t xml:space="preserve">15.1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本项目使用“苏采云”政府采购一体化平台。供应商根据招标文件及“苏采云”政府采购一体化平台供应商操作手册要求编制、生成并提交电子投标文件。</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采购人及采购代理机构拒绝接受通过“苏采云”政府采购一体化平台以外任何形式提交的投标文件。</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475" w:name="_Toc151193851"/>
      <w:r/>
      <w:bookmarkStart w:id="476" w:name="_Toc164229232"/>
      <w:r/>
      <w:bookmarkStart w:id="477" w:name="_Toc127161451"/>
      <w:r/>
      <w:bookmarkStart w:id="478" w:name="_Toc150509288"/>
      <w:r/>
      <w:bookmarkStart w:id="479" w:name="_Toc226965727"/>
      <w:r/>
      <w:bookmarkStart w:id="480" w:name="_Toc150774742"/>
      <w:r/>
      <w:bookmarkStart w:id="481" w:name="_Toc305158805"/>
      <w:r/>
      <w:bookmarkStart w:id="482" w:name="_Toc164229378"/>
      <w:r/>
      <w:bookmarkStart w:id="483" w:name="_Toc151190164"/>
      <w:r/>
      <w:bookmarkStart w:id="484" w:name="_Toc226337233"/>
      <w:r/>
      <w:bookmarkStart w:id="485" w:name="_Toc142311039"/>
      <w:r/>
      <w:bookmarkStart w:id="486" w:name="_Toc226309781"/>
      <w:r/>
      <w:bookmarkStart w:id="487" w:name="_Toc151193635"/>
      <w:r/>
      <w:bookmarkStart w:id="488" w:name="_Toc264969227"/>
      <w:r/>
      <w:bookmarkStart w:id="489" w:name="_Toc305158879"/>
      <w:r/>
      <w:bookmarkStart w:id="490" w:name="_Toc151193925"/>
      <w:r/>
      <w:bookmarkStart w:id="491" w:name="_Toc226965810"/>
      <w:r/>
      <w:bookmarkStart w:id="492" w:name="_Toc164608806"/>
      <w:r/>
      <w:bookmarkStart w:id="493" w:name="_Toc164351631"/>
      <w:r/>
      <w:bookmarkStart w:id="494" w:name="_Toc150480775"/>
      <w:r/>
      <w:bookmarkStart w:id="495" w:name="_Toc151193707"/>
      <w:r/>
      <w:bookmarkStart w:id="496" w:name="_Toc127151537"/>
      <w:r/>
      <w:bookmarkStart w:id="497" w:name="_Toc150774637"/>
      <w:r/>
      <w:bookmarkStart w:id="498" w:name="_Toc149720830"/>
      <w:r/>
      <w:bookmarkStart w:id="499" w:name="_Toc151193779"/>
      <w:r/>
      <w:bookmarkStart w:id="500" w:name="_Toc127151738"/>
      <w:r/>
      <w:bookmarkStart w:id="501" w:name="_Toc164608651"/>
      <w:r/>
      <w:bookmarkStart w:id="502" w:name="_Toc265228375"/>
      <w:r/>
      <w:bookmarkStart w:id="503" w:name="_Toc520356162"/>
      <w:r/>
      <w:bookmarkStart w:id="504" w:name="_Toc195842902"/>
      <w:r>
        <w:rPr>
          <w:rFonts w:hint="eastAsia" w:ascii="仿宋" w:hAnsi="仿宋" w:eastAsia="仿宋" w:cs="仿宋"/>
          <w:color w:val="000000"/>
          <w:sz w:val="21"/>
          <w:szCs w:val="21"/>
          <w:highlight w:val="none"/>
        </w:rPr>
        <w:t xml:space="preserve">16.投标截止时间</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供应商应在招标文件要求提交投标文件截止时间前，将电子投标文件提交至“苏采云”政府采购一体化平台。</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17.投标文件的修改与撤回</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17.1投标截止时间前，供应商可以通过“苏采云”政府采购一体化平台对所提交的投标文件进行补充、修改或者撤回。</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供应商对投标文件的补充、修改的内容应当按照招标文件要求签署、加盖公章，作为投标文件的组成部分。</w:t>
      </w:r>
      <w:r>
        <w:rPr>
          <w:rFonts w:hint="eastAsia" w:ascii="仿宋" w:hAnsi="仿宋" w:eastAsia="仿宋" w:cs="仿宋"/>
          <w:color w:val="000000"/>
          <w:sz w:val="21"/>
          <w:szCs w:val="21"/>
          <w:highlight w:val="none"/>
        </w:rPr>
      </w:r>
      <w:r/>
    </w:p>
    <w:p>
      <w:pPr>
        <w:pStyle w:val="1218"/>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   开标、资格审查及评标</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505" w:name="_Toc520356164"/>
      <w:r/>
      <w:bookmarkStart w:id="506" w:name="_Toc195842904"/>
      <w:r/>
      <w:bookmarkStart w:id="507" w:name="_Toc127151539"/>
      <w:r/>
      <w:bookmarkStart w:id="508" w:name="_Toc164608653"/>
      <w:r/>
      <w:bookmarkStart w:id="509" w:name="_Toc226965812"/>
      <w:r/>
      <w:bookmarkStart w:id="510" w:name="_Toc127151740"/>
      <w:r/>
      <w:bookmarkStart w:id="511" w:name="_Toc164608808"/>
      <w:r/>
      <w:bookmarkStart w:id="512" w:name="_Toc150774744"/>
      <w:r/>
      <w:bookmarkStart w:id="513" w:name="_Toc151193853"/>
      <w:r/>
      <w:bookmarkStart w:id="514" w:name="_Toc151193709"/>
      <w:r/>
      <w:bookmarkStart w:id="515" w:name="_Toc151190166"/>
      <w:r/>
      <w:bookmarkStart w:id="516" w:name="_Toc226337235"/>
      <w:r/>
      <w:bookmarkStart w:id="517" w:name="_Toc149720832"/>
      <w:r/>
      <w:bookmarkStart w:id="518" w:name="_Toc164229380"/>
      <w:r/>
      <w:bookmarkStart w:id="519" w:name="_Toc142311041"/>
      <w:r/>
      <w:bookmarkStart w:id="520" w:name="_Toc164229234"/>
      <w:r/>
      <w:bookmarkStart w:id="521" w:name="_Toc226309783"/>
      <w:r/>
      <w:bookmarkStart w:id="522" w:name="_Toc151193637"/>
      <w:r/>
      <w:bookmarkStart w:id="523" w:name="_Toc265228377"/>
      <w:r/>
      <w:bookmarkStart w:id="524" w:name="_Toc305158807"/>
      <w:r/>
      <w:bookmarkStart w:id="525" w:name="_Toc226965729"/>
      <w:r/>
      <w:bookmarkStart w:id="526" w:name="_Toc151193927"/>
      <w:r/>
      <w:bookmarkStart w:id="527" w:name="_Toc127161453"/>
      <w:r/>
      <w:bookmarkStart w:id="528" w:name="_Toc150774639"/>
      <w:r/>
      <w:bookmarkStart w:id="529" w:name="_Toc150480777"/>
      <w:r/>
      <w:bookmarkStart w:id="530" w:name="_Toc305158813"/>
      <w:r/>
      <w:bookmarkStart w:id="531" w:name="_Toc151193781"/>
      <w:r/>
      <w:bookmarkStart w:id="532" w:name="_Toc520356169"/>
      <w:r/>
      <w:bookmarkStart w:id="533" w:name="_Toc151193715"/>
      <w:r/>
      <w:bookmarkStart w:id="534" w:name="_Toc265228383"/>
      <w:r/>
      <w:bookmarkStart w:id="535" w:name="_Toc226965735"/>
      <w:r/>
      <w:bookmarkStart w:id="536" w:name="_Toc264969235"/>
      <w:r/>
      <w:bookmarkStart w:id="537" w:name="_Toc305158887"/>
      <w:r/>
      <w:bookmarkStart w:id="538" w:name="_Toc142311047"/>
      <w:r/>
      <w:bookmarkStart w:id="539" w:name="_Toc195842910"/>
      <w:r/>
      <w:bookmarkStart w:id="540" w:name="_Toc150480783"/>
      <w:r/>
      <w:bookmarkStart w:id="541" w:name="_Toc150774645"/>
      <w:r/>
      <w:bookmarkStart w:id="542" w:name="_Toc151193933"/>
      <w:r/>
      <w:bookmarkStart w:id="543" w:name="_Toc226337241"/>
      <w:r/>
      <w:bookmarkStart w:id="544" w:name="_Toc150774750"/>
      <w:r/>
      <w:bookmarkStart w:id="545" w:name="_Toc226965818"/>
      <w:r/>
      <w:bookmarkStart w:id="546" w:name="_Toc127151545"/>
      <w:r/>
      <w:bookmarkStart w:id="547" w:name="_Toc151190172"/>
      <w:r/>
      <w:bookmarkStart w:id="548" w:name="_Toc151193859"/>
      <w:r/>
      <w:bookmarkStart w:id="549" w:name="_Toc151193643"/>
      <w:r/>
      <w:bookmarkStart w:id="550" w:name="_Toc150509296"/>
      <w:r/>
      <w:bookmarkStart w:id="551" w:name="_Toc226309789"/>
      <w:r/>
      <w:bookmarkStart w:id="552" w:name="_Toc164351633"/>
      <w:r/>
      <w:bookmarkStart w:id="553" w:name="_Toc150509290"/>
      <w:r/>
      <w:bookmarkStart w:id="554" w:name="_Toc264969229"/>
      <w:r/>
      <w:bookmarkStart w:id="555" w:name="_Toc305158881"/>
      <w:r/>
      <w:bookmarkStart w:id="556" w:name="_Toc151193787"/>
      <w:r>
        <w:rPr>
          <w:rFonts w:hint="eastAsia" w:ascii="仿宋" w:hAnsi="仿宋" w:eastAsia="仿宋" w:cs="仿宋"/>
          <w:color w:val="000000"/>
          <w:sz w:val="21"/>
          <w:szCs w:val="21"/>
          <w:highlight w:val="none"/>
        </w:rPr>
        <w:t xml:space="preserve">18.开标</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1"/>
      <w:r/>
      <w:bookmarkEnd w:id="552"/>
      <w:r/>
      <w:bookmarkEnd w:id="553"/>
      <w:r/>
      <w:bookmarkEnd w:id="554"/>
      <w:r/>
      <w:bookmarkEnd w:id="555"/>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557" w:name="_Toc520356165"/>
      <w:r>
        <w:rPr>
          <w:rFonts w:hint="eastAsia" w:ascii="仿宋" w:hAnsi="仿宋" w:eastAsia="仿宋" w:cs="仿宋"/>
          <w:color w:val="000000"/>
          <w:sz w:val="21"/>
          <w:szCs w:val="21"/>
          <w:highlight w:val="none"/>
        </w:rPr>
        <w:t xml:space="preserve">18.1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采购人或采购代理机构将按招标文件的规定，在投标截止时间的同一时间和招标文件预先确定的地点组织开标。</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本项目开标采用不见面招投标模式，使用“苏采云”政府采购一体化平台在线进行开标。供应商应在规定的时间内对投标文件进行解密，因非系统原因导致的解密失败，视为投标无效。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18.3</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开标过程将使用“苏采云”政府采购一体化平台公布供应商名称、投标价格和招标文件规定的需要宣布的其他内容并进行记录，并由参加开标的各供应商代表在规定时间内确认。供应商超过规定时间未确认但是未提出疑义的，系统将视同已确认。</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18.4</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供应商不足3家的，不予开标。</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18.6</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须在开标前使用“验证CA”功能验证本地计算机的控件环境是否正常，并且在开标评审过程中不可随意离开、更换计算机，必须使用验证成功的计算机进行操作，否则造成相应后果由供应商自行承担。本地计算机要求安装摄像头、麦克风和音箱，保持网络通畅。</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18.7</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供应商承担。</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18.8</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1)平台系统发生故障而无法登录访问的；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2)平台系统应用或数据库出现错误，不能进行正常操作的；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3)平台系统发现严重安全漏洞，有潜在泄密危险的；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4)病毒发作导致平台系统不能进行正常操作的；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5)其他无法保证本次采购活动的公平、公正和安全的情况。</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19.资格审查</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19.1见第三章《资格审查》。</w:t>
      </w:r>
      <w:bookmarkEnd w:id="557"/>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558" w:name="_Toc127151540"/>
      <w:r/>
      <w:bookmarkStart w:id="559" w:name="_Toc151193710"/>
      <w:r/>
      <w:bookmarkStart w:id="560" w:name="_Toc264969230"/>
      <w:r/>
      <w:bookmarkStart w:id="561" w:name="_Toc265228378"/>
      <w:r/>
      <w:bookmarkStart w:id="562" w:name="_Toc151193638"/>
      <w:r/>
      <w:bookmarkStart w:id="563" w:name="_Toc226337236"/>
      <w:r/>
      <w:bookmarkStart w:id="564" w:name="_Toc151193854"/>
      <w:r/>
      <w:bookmarkStart w:id="565" w:name="_Toc305158808"/>
      <w:r/>
      <w:bookmarkStart w:id="566" w:name="_Toc151193782"/>
      <w:r/>
      <w:bookmarkStart w:id="567" w:name="_Toc151193928"/>
      <w:r/>
      <w:bookmarkStart w:id="568" w:name="_Toc164608809"/>
      <w:r/>
      <w:bookmarkStart w:id="569" w:name="_Toc305158882"/>
      <w:r/>
      <w:bookmarkStart w:id="570" w:name="_Toc226965730"/>
      <w:r/>
      <w:bookmarkStart w:id="571" w:name="_Toc142311042"/>
      <w:r/>
      <w:bookmarkStart w:id="572" w:name="_Toc151190167"/>
      <w:r/>
      <w:bookmarkStart w:id="573" w:name="_Toc150480778"/>
      <w:r/>
      <w:bookmarkStart w:id="574" w:name="_Toc164229381"/>
      <w:r/>
      <w:bookmarkStart w:id="575" w:name="_Toc226965813"/>
      <w:r/>
      <w:bookmarkStart w:id="576" w:name="_Toc127151741"/>
      <w:r/>
      <w:bookmarkStart w:id="577" w:name="_Toc164351634"/>
      <w:r/>
      <w:bookmarkStart w:id="578" w:name="_Toc150774640"/>
      <w:r/>
      <w:bookmarkStart w:id="579" w:name="_Toc127161454"/>
      <w:r/>
      <w:bookmarkStart w:id="580" w:name="_Toc149720833"/>
      <w:r/>
      <w:bookmarkStart w:id="581" w:name="_Toc164229235"/>
      <w:r/>
      <w:bookmarkStart w:id="582" w:name="_Toc150774745"/>
      <w:r/>
      <w:bookmarkStart w:id="583" w:name="_Toc150509291"/>
      <w:r/>
      <w:bookmarkStart w:id="584" w:name="_Toc164608654"/>
      <w:r/>
      <w:bookmarkStart w:id="585" w:name="_Toc226309784"/>
      <w:r/>
      <w:bookmarkStart w:id="586" w:name="_Toc195842905"/>
      <w:r>
        <w:rPr>
          <w:rFonts w:hint="eastAsia" w:ascii="仿宋" w:hAnsi="仿宋" w:eastAsia="仿宋" w:cs="仿宋"/>
          <w:color w:val="000000"/>
          <w:sz w:val="21"/>
          <w:szCs w:val="21"/>
          <w:highlight w:val="none"/>
        </w:rPr>
        <w:t xml:space="preserve">20.评标委员会</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20.1评标委员会根据政府采购有关规定和本次招标采购项目的特点进行组建，并负责具体评标事务，独立履行职责。</w:t>
      </w:r>
      <w:bookmarkStart w:id="587" w:name="_Toc520356166"/>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587"/>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21评标程序、评标方法和评标标准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21.1见第四章《评标程序、评标方法和评标标准》。</w:t>
      </w:r>
      <w:r>
        <w:rPr>
          <w:rFonts w:hint="eastAsia" w:ascii="仿宋" w:hAnsi="仿宋" w:eastAsia="仿宋" w:cs="仿宋"/>
          <w:color w:val="000000"/>
          <w:sz w:val="21"/>
          <w:szCs w:val="21"/>
          <w:highlight w:val="none"/>
        </w:rPr>
      </w:r>
      <w:r/>
    </w:p>
    <w:p>
      <w:pPr>
        <w:pStyle w:val="1218"/>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18"/>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   </w:t>
      </w:r>
      <w:bookmarkEnd w:id="532"/>
      <w:r>
        <w:rPr>
          <w:rFonts w:hint="eastAsia" w:ascii="仿宋" w:hAnsi="仿宋" w:eastAsia="仿宋" w:cs="仿宋"/>
          <w:color w:val="000000"/>
          <w:sz w:val="21"/>
          <w:szCs w:val="21"/>
          <w:highlight w:val="none"/>
        </w:rPr>
        <w:t xml:space="preserve">确定中标</w:t>
      </w:r>
      <w:bookmarkEnd w:id="530"/>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6"/>
      <w:r/>
      <w:bookmarkStart w:id="588" w:name="_Toc142311049"/>
      <w:r/>
      <w:bookmarkEnd w:id="588"/>
      <w:r/>
      <w:bookmarkStart w:id="589" w:name="_Toc150774752"/>
      <w:r/>
      <w:bookmarkEnd w:id="589"/>
      <w:r/>
      <w:bookmarkStart w:id="590" w:name="_Toc164229242"/>
      <w:r/>
      <w:bookmarkEnd w:id="590"/>
      <w:r/>
      <w:bookmarkStart w:id="591" w:name="_Toc265228385"/>
      <w:r/>
      <w:bookmarkEnd w:id="591"/>
      <w:r/>
      <w:bookmarkStart w:id="592" w:name="_Toc150509298"/>
      <w:r/>
      <w:bookmarkEnd w:id="592"/>
      <w:r/>
      <w:bookmarkStart w:id="593" w:name="_Toc149720840"/>
      <w:r/>
      <w:bookmarkEnd w:id="593"/>
      <w:r/>
      <w:bookmarkStart w:id="594" w:name="_Toc164229388"/>
      <w:r/>
      <w:bookmarkEnd w:id="594"/>
      <w:r/>
      <w:bookmarkStart w:id="595" w:name="_Toc150774647"/>
      <w:r/>
      <w:bookmarkEnd w:id="595"/>
      <w:r/>
      <w:bookmarkStart w:id="596" w:name="_Toc164351641"/>
      <w:r/>
      <w:bookmarkEnd w:id="596"/>
      <w:r/>
      <w:bookmarkStart w:id="597" w:name="_Toc226965737"/>
      <w:r/>
      <w:bookmarkEnd w:id="597"/>
      <w:r/>
      <w:bookmarkStart w:id="598" w:name="_Toc151193861"/>
      <w:r/>
      <w:bookmarkEnd w:id="598"/>
      <w:r/>
      <w:bookmarkStart w:id="599" w:name="_Toc164608816"/>
      <w:r/>
      <w:bookmarkEnd w:id="599"/>
      <w:r/>
      <w:bookmarkStart w:id="600" w:name="_Toc195842912"/>
      <w:r/>
      <w:bookmarkEnd w:id="600"/>
      <w:r/>
      <w:bookmarkStart w:id="601" w:name="_Toc226337243"/>
      <w:r/>
      <w:bookmarkEnd w:id="601"/>
      <w:r/>
      <w:bookmarkStart w:id="602" w:name="_Toc151193717"/>
      <w:r/>
      <w:bookmarkEnd w:id="602"/>
      <w:r/>
      <w:bookmarkStart w:id="603" w:name="_Toc305158815"/>
      <w:r/>
      <w:bookmarkEnd w:id="603"/>
      <w:r/>
      <w:bookmarkStart w:id="604" w:name="_Toc151190174"/>
      <w:r/>
      <w:bookmarkEnd w:id="604"/>
      <w:r/>
      <w:bookmarkStart w:id="605" w:name="_Toc264969237"/>
      <w:r/>
      <w:bookmarkEnd w:id="605"/>
      <w:r/>
      <w:bookmarkStart w:id="606" w:name="_Toc127161461"/>
      <w:r/>
      <w:bookmarkEnd w:id="606"/>
      <w:r/>
      <w:bookmarkStart w:id="607" w:name="_Toc151193789"/>
      <w:r/>
      <w:bookmarkEnd w:id="607"/>
      <w:r/>
      <w:bookmarkStart w:id="608" w:name="_Toc151193935"/>
      <w:r/>
      <w:bookmarkEnd w:id="608"/>
      <w:r/>
      <w:bookmarkStart w:id="609" w:name="_Toc305158889"/>
      <w:r/>
      <w:bookmarkEnd w:id="609"/>
      <w:r/>
      <w:bookmarkStart w:id="610" w:name="_Toc226965820"/>
      <w:r/>
      <w:bookmarkEnd w:id="610"/>
      <w:r/>
      <w:bookmarkStart w:id="611" w:name="_Toc127151547"/>
      <w:r/>
      <w:bookmarkEnd w:id="611"/>
      <w:r/>
      <w:bookmarkStart w:id="612" w:name="_Toc127151748"/>
      <w:r/>
      <w:bookmarkEnd w:id="612"/>
      <w:r/>
      <w:bookmarkStart w:id="613" w:name="_Toc151193645"/>
      <w:r/>
      <w:bookmarkEnd w:id="613"/>
      <w:r/>
      <w:bookmarkStart w:id="614" w:name="_Toc164608661"/>
      <w:r/>
      <w:bookmarkEnd w:id="614"/>
      <w:r/>
      <w:bookmarkStart w:id="615" w:name="_Toc226309791"/>
      <w:r/>
      <w:bookmarkEnd w:id="615"/>
      <w:r/>
      <w:bookmarkStart w:id="616" w:name="_Toc150480785"/>
      <w:r/>
      <w:bookmarkEnd w:id="616"/>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22.确定中标人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617" w:name="_Toc226965739"/>
      <w:r/>
      <w:bookmarkStart w:id="618" w:name="_Toc127161463"/>
      <w:r/>
      <w:bookmarkStart w:id="619" w:name="_Toc195842914"/>
      <w:r/>
      <w:bookmarkStart w:id="620" w:name="_Toc305158817"/>
      <w:r/>
      <w:bookmarkStart w:id="621" w:name="_Toc150774649"/>
      <w:r/>
      <w:bookmarkStart w:id="622" w:name="_Toc151193647"/>
      <w:r/>
      <w:bookmarkStart w:id="623" w:name="_Toc150480787"/>
      <w:r/>
      <w:bookmarkStart w:id="624" w:name="_Toc142311051"/>
      <w:r/>
      <w:bookmarkStart w:id="625" w:name="_Toc520356176"/>
      <w:r/>
      <w:bookmarkStart w:id="626" w:name="_Ref467306425"/>
      <w:r/>
      <w:bookmarkStart w:id="627" w:name="_Toc265228387"/>
      <w:r/>
      <w:bookmarkStart w:id="628" w:name="_Toc164351643"/>
      <w:r/>
      <w:bookmarkStart w:id="629" w:name="_Toc226337245"/>
      <w:r/>
      <w:bookmarkStart w:id="630" w:name="_Toc149720842"/>
      <w:r/>
      <w:bookmarkStart w:id="631" w:name="_Toc164608818"/>
      <w:r/>
      <w:bookmarkStart w:id="632" w:name="_Toc150509300"/>
      <w:r/>
      <w:bookmarkStart w:id="633" w:name="_Toc164229390"/>
      <w:r/>
      <w:bookmarkStart w:id="634" w:name="_Toc164229244"/>
      <w:r/>
      <w:bookmarkStart w:id="635" w:name="_Toc164608663"/>
      <w:r/>
      <w:bookmarkStart w:id="636" w:name="_Toc264969239"/>
      <w:r/>
      <w:bookmarkStart w:id="637" w:name="_Toc305158891"/>
      <w:r/>
      <w:bookmarkStart w:id="638" w:name="_Toc127151549"/>
      <w:r/>
      <w:bookmarkStart w:id="639" w:name="_Toc151193937"/>
      <w:r/>
      <w:bookmarkStart w:id="640" w:name="_Toc151190176"/>
      <w:r/>
      <w:bookmarkStart w:id="641" w:name="_Toc151193719"/>
      <w:r/>
      <w:bookmarkStart w:id="642" w:name="_Toc150774754"/>
      <w:r/>
      <w:bookmarkStart w:id="643" w:name="_Toc151193863"/>
      <w:r/>
      <w:bookmarkStart w:id="644" w:name="_Toc226309793"/>
      <w:r/>
      <w:bookmarkStart w:id="645" w:name="_Toc127151750"/>
      <w:r/>
      <w:bookmarkStart w:id="646" w:name="_Toc226965822"/>
      <w:r/>
      <w:bookmarkStart w:id="647" w:name="_Toc151193791"/>
      <w:r/>
      <w:bookmarkStart w:id="648" w:name="_Ref467307090"/>
      <w:r>
        <w:rPr>
          <w:rFonts w:hint="eastAsia" w:ascii="仿宋" w:hAnsi="仿宋" w:eastAsia="仿宋" w:cs="仿宋"/>
          <w:color w:val="000000"/>
          <w:sz w:val="21"/>
          <w:szCs w:val="21"/>
          <w:highlight w:val="none"/>
        </w:rPr>
        <w:t xml:space="preserve">22.1采购人将在评标报告确定的中标候选人名单中按顺序确定中标人，中标候选人并列的，由采购人依法确定。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23.中标公告与中标通知书</w:t>
      </w:r>
      <w:bookmarkEnd w:id="620"/>
      <w:r/>
      <w:bookmarkEnd w:id="637"/>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23.1采购人或采购代理机构自中标人确定之日起2个工作日内，在常州市政府采购网公告中标结果，同时向中标人发出中标通知书，中标公告期限为1个工作日。</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23.2中标通知书对采购人和中标人均具有法律效力。中标通知书发出后，采购人改变中标结果的，或者中标人放弃中标项目的，应当依法承担法律责任。</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24.废标</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24.1在招标采购中，出现下列情形之一的，应予废标：</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24.1.1符合专业条件的供应商或者对招标文件作实质响应的供应商不足三家的；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24.1.2出现影响采购公正的违法、违规行为的；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24.1.3供应商的报价均超过了采购预算或最高限价（控制价），采购人不能支付的；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25.1.4因重大变故，采购任务取消的。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平台系统出现序号18.8的所述情形，情况严重且影响采购活动公平、公正性的。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24.2废标后，采购人将废标理由通知所有供应商。</w:t>
      </w:r>
      <w:bookmarkEnd w:id="617"/>
      <w:r/>
      <w:bookmarkEnd w:id="618"/>
      <w:r/>
      <w:bookmarkEnd w:id="619"/>
      <w:r/>
      <w:bookmarkEnd w:id="621"/>
      <w:r/>
      <w:bookmarkEnd w:id="622"/>
      <w:r/>
      <w:bookmarkEnd w:id="623"/>
      <w:r/>
      <w:bookmarkEnd w:id="624"/>
      <w:r/>
      <w:bookmarkEnd w:id="627"/>
      <w:r/>
      <w:bookmarkEnd w:id="628"/>
      <w:r/>
      <w:bookmarkEnd w:id="629"/>
      <w:r/>
      <w:bookmarkEnd w:id="630"/>
      <w:r/>
      <w:bookmarkEnd w:id="631"/>
      <w:r/>
      <w:bookmarkEnd w:id="632"/>
      <w:r/>
      <w:bookmarkEnd w:id="633"/>
      <w:r/>
      <w:bookmarkEnd w:id="634"/>
      <w:r/>
      <w:bookmarkEnd w:id="635"/>
      <w:r/>
      <w:bookmarkEnd w:id="636"/>
      <w:r/>
      <w:bookmarkEnd w:id="638"/>
      <w:r/>
      <w:bookmarkEnd w:id="639"/>
      <w:r/>
      <w:bookmarkEnd w:id="640"/>
      <w:r/>
      <w:bookmarkEnd w:id="641"/>
      <w:r/>
      <w:bookmarkEnd w:id="642"/>
      <w:r/>
      <w:bookmarkEnd w:id="643"/>
      <w:r/>
      <w:bookmarkEnd w:id="644"/>
      <w:r/>
      <w:bookmarkEnd w:id="645"/>
      <w:r/>
      <w:bookmarkEnd w:id="646"/>
      <w:r/>
      <w:bookmarkEnd w:id="647"/>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649" w:name="_Toc164351644"/>
      <w:r/>
      <w:bookmarkStart w:id="650" w:name="_Toc151193864"/>
      <w:r/>
      <w:bookmarkStart w:id="651" w:name="_Toc151193648"/>
      <w:r/>
      <w:bookmarkStart w:id="652" w:name="_Toc127161464"/>
      <w:r/>
      <w:bookmarkStart w:id="653" w:name="_Toc151193938"/>
      <w:r/>
      <w:bookmarkStart w:id="654" w:name="_Ref467307204"/>
      <w:r/>
      <w:bookmarkStart w:id="655" w:name="_Toc151190177"/>
      <w:r/>
      <w:bookmarkStart w:id="656" w:name="_Toc164608664"/>
      <w:r/>
      <w:bookmarkStart w:id="657" w:name="_Toc149720843"/>
      <w:r/>
      <w:bookmarkStart w:id="658" w:name="_Toc164229391"/>
      <w:r/>
      <w:bookmarkStart w:id="659" w:name="_Ref467306978"/>
      <w:r/>
      <w:bookmarkStart w:id="660" w:name="_Toc264969240"/>
      <w:r/>
      <w:bookmarkStart w:id="661" w:name="_Toc520356175"/>
      <w:r/>
      <w:bookmarkStart w:id="662" w:name="_Toc305158818"/>
      <w:r/>
      <w:bookmarkStart w:id="663" w:name="_Toc150774650"/>
      <w:r/>
      <w:bookmarkStart w:id="664" w:name="_Toc151193720"/>
      <w:r/>
      <w:bookmarkStart w:id="665" w:name="_Toc226337246"/>
      <w:r/>
      <w:bookmarkStart w:id="666" w:name="_Ref467306377"/>
      <w:r/>
      <w:bookmarkStart w:id="667" w:name="_Toc127151751"/>
      <w:r/>
      <w:bookmarkStart w:id="668" w:name="_Toc151193792"/>
      <w:r/>
      <w:bookmarkStart w:id="669" w:name="_Toc305158892"/>
      <w:r/>
      <w:bookmarkStart w:id="670" w:name="_Toc265228388"/>
      <w:r/>
      <w:bookmarkStart w:id="671" w:name="_Toc195842915"/>
      <w:r/>
      <w:bookmarkStart w:id="672" w:name="_Toc127151550"/>
      <w:r/>
      <w:bookmarkStart w:id="673" w:name="_Toc226309794"/>
      <w:r/>
      <w:bookmarkStart w:id="674" w:name="_Toc142311052"/>
      <w:r/>
      <w:bookmarkStart w:id="675" w:name="_Toc226965740"/>
      <w:r/>
      <w:bookmarkStart w:id="676" w:name="_Toc164229245"/>
      <w:r/>
      <w:bookmarkStart w:id="677" w:name="_Toc226965823"/>
      <w:r/>
      <w:bookmarkStart w:id="678" w:name="_Ref467307062"/>
      <w:r/>
      <w:bookmarkStart w:id="679" w:name="_Toc150774755"/>
      <w:r/>
      <w:bookmarkStart w:id="680" w:name="_Toc150509301"/>
      <w:r/>
      <w:bookmarkStart w:id="681" w:name="_Toc150480788"/>
      <w:r/>
      <w:bookmarkStart w:id="682" w:name="_Toc164608819"/>
      <w:r>
        <w:rPr>
          <w:rFonts w:hint="eastAsia" w:ascii="仿宋" w:hAnsi="仿宋" w:eastAsia="仿宋" w:cs="仿宋"/>
          <w:color w:val="000000"/>
          <w:sz w:val="21"/>
          <w:szCs w:val="21"/>
          <w:highlight w:val="none"/>
        </w:rPr>
        <w:t xml:space="preserve">25.签订合同</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25.2中标人拒绝与采购人签订合同的，采购人可以按照评标报告推荐的中标候选人名单排序，确定下一候选人为中标人，也可以重新开展政府采购活动。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25.3联合体中标的，联合体各方应当共同与采购人签订合同，就中标项目向采购人承担连带责任。</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25.4政府采购合同不能转包。</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bookmarkEnd w:id="625"/>
      <w:r/>
      <w:bookmarkEnd w:id="626"/>
      <w:r/>
      <w:bookmarkEnd w:id="648"/>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26.询问与质疑</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26.1询问</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26.1.1供应商对政府采购活动事项有疑问的，可依法提出询问，并按《供应商须知资料表》载明的形式送达采购人或采购代理机构。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26.1.2采购人或采购代理机构对供应商依法提出的询问，在3个工作日内作出答复，但答复的内容不得涉及商业秘密。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26.2质疑</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26.2.1供应商认为招标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26.2.2</w:t>
      </w:r>
      <w:r>
        <w:rPr>
          <w:rFonts w:hint="eastAsia" w:ascii="仿宋" w:hAnsi="仿宋" w:eastAsia="仿宋" w:cs="仿宋"/>
          <w:b/>
          <w:bCs/>
          <w:color w:val="000000"/>
          <w:sz w:val="21"/>
          <w:szCs w:val="21"/>
          <w:highlight w:val="none"/>
        </w:rPr>
        <w:t xml:space="preserve">招标文件中采购需求以及相关部分（第四章、第五章以及供应商资格要求）由采购人负责制定和管理，对该部分内容有询问或者质疑的，供应商应当向采购人书面提出，由采购人负责接收和回复。</w:t>
      </w:r>
      <w:r>
        <w:rPr>
          <w:rFonts w:hint="eastAsia" w:ascii="仿宋" w:hAnsi="仿宋" w:eastAsia="仿宋" w:cs="仿宋"/>
          <w:color w:val="000000"/>
          <w:sz w:val="21"/>
          <w:szCs w:val="21"/>
          <w:highlight w:val="none"/>
        </w:rPr>
      </w:r>
      <w:r/>
    </w:p>
    <w:p>
      <w:pPr>
        <w:pStyle w:val="1309"/>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26.2.3质疑函须使用财政部制定的范本文件。（下载网址：</w:t>
      </w:r>
      <w:r>
        <w:rPr>
          <w:rFonts w:hint="eastAsia" w:ascii="仿宋" w:hAnsi="仿宋" w:eastAsia="仿宋" w:cs="仿宋"/>
          <w:color w:val="000000"/>
          <w:sz w:val="21"/>
          <w:szCs w:val="21"/>
          <w:highlight w:val="none"/>
        </w:rPr>
        <w:fldChar w:fldCharType="begin"/>
      </w:r>
      <w:r>
        <w:rPr>
          <w:rFonts w:hint="eastAsia" w:ascii="仿宋" w:hAnsi="仿宋" w:eastAsia="仿宋" w:cs="仿宋"/>
          <w:color w:val="000000"/>
          <w:sz w:val="21"/>
          <w:szCs w:val="21"/>
          <w:highlight w:val="none"/>
        </w:rPr>
        <w:instrText xml:space="preserve"> HYPERLINK "http://gks.mof.gov.cn/ztztz/zhengfucaigouguanli/201802/t20180201_2804589.htm" </w:instrText>
      </w:r>
      <w:r>
        <w:rPr>
          <w:rFonts w:hint="eastAsia" w:ascii="仿宋" w:hAnsi="仿宋" w:eastAsia="仿宋" w:cs="仿宋"/>
          <w:color w:val="000000"/>
          <w:sz w:val="21"/>
          <w:szCs w:val="21"/>
          <w:highlight w:val="none"/>
        </w:rPr>
        <w:fldChar w:fldCharType="separate"/>
      </w:r>
      <w:r>
        <w:rPr>
          <w:rFonts w:hint="eastAsia" w:ascii="仿宋" w:hAnsi="仿宋" w:eastAsia="仿宋" w:cs="仿宋"/>
          <w:color w:val="000000"/>
          <w:sz w:val="21"/>
          <w:szCs w:val="21"/>
          <w:highlight w:val="none"/>
        </w:rPr>
        <w:t xml:space="preserve">http://gk</w:t>
      </w:r>
      <w:bookmarkStart w:id="683" w:name="_Hlt100654014"/>
      <w:r>
        <w:rPr>
          <w:rFonts w:hint="eastAsia" w:ascii="仿宋" w:hAnsi="仿宋" w:eastAsia="仿宋" w:cs="仿宋"/>
          <w:color w:val="000000"/>
          <w:sz w:val="21"/>
          <w:szCs w:val="21"/>
          <w:highlight w:val="none"/>
        </w:rPr>
        <w:t xml:space="preserve">s</w:t>
      </w:r>
      <w:bookmarkEnd w:id="683"/>
      <w:r>
        <w:rPr>
          <w:rFonts w:hint="eastAsia" w:ascii="仿宋" w:hAnsi="仿宋" w:eastAsia="仿宋" w:cs="仿宋"/>
          <w:color w:val="000000"/>
          <w:sz w:val="21"/>
          <w:szCs w:val="21"/>
          <w:highlight w:val="none"/>
        </w:rPr>
        <w:t xml:space="preserve">.m</w:t>
      </w:r>
      <w:bookmarkStart w:id="684" w:name="_Hlt100653994"/>
      <w:r/>
      <w:bookmarkStart w:id="685" w:name="_Hlt100653993"/>
      <w:r>
        <w:rPr>
          <w:rFonts w:hint="eastAsia" w:ascii="仿宋" w:hAnsi="仿宋" w:eastAsia="仿宋" w:cs="仿宋"/>
          <w:color w:val="000000"/>
          <w:sz w:val="21"/>
          <w:szCs w:val="21"/>
          <w:highlight w:val="none"/>
        </w:rPr>
        <w:t xml:space="preserve">o</w:t>
      </w:r>
      <w:bookmarkEnd w:id="684"/>
      <w:r/>
      <w:bookmarkEnd w:id="685"/>
      <w:r>
        <w:rPr>
          <w:rFonts w:hint="eastAsia" w:ascii="仿宋" w:hAnsi="仿宋" w:eastAsia="仿宋" w:cs="仿宋"/>
          <w:color w:val="000000"/>
          <w:sz w:val="21"/>
          <w:szCs w:val="21"/>
          <w:highlight w:val="none"/>
        </w:rPr>
        <w:t xml:space="preserve">f.gov.cn/ztztz/zhengfucaigouguanli/201802/t20180201_2804589.htm</w:t>
      </w:r>
      <w:r>
        <w:rPr>
          <w:rFonts w:hint="eastAsia" w:ascii="仿宋" w:hAnsi="仿宋" w:eastAsia="仿宋" w:cs="仿宋"/>
          <w:color w:val="000000"/>
          <w:sz w:val="21"/>
          <w:szCs w:val="21"/>
          <w:highlight w:val="none"/>
        </w:rPr>
        <w:fldChar w:fldCharType="end"/>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26.2.4供应商为自然人的，应当由本人签字；供应商为法人或者其他组织的，应当由法定代表人、主要负责人，或者其授权代表签字或者加盖公章，并加盖公章。</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26.2.5供应商应在法定质疑期内一次性提出针对同一采购程序环节的质疑，法定质疑期内针对同一采购程序环节再次提出的质疑，采购人、采购代理机构有权不予答复。</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26.3接收询问和质疑的联系部门、联系电话和通讯地址见《供应商须知资料表》。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27.代理费</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27.1收费对象、收费标准及缴纳时间见《供应商须知资料表》。</w:t>
      </w:r>
      <w:r>
        <w:rPr>
          <w:rFonts w:hint="eastAsia" w:ascii="仿宋" w:hAnsi="仿宋" w:eastAsia="仿宋" w:cs="仿宋"/>
          <w:b/>
          <w:bCs/>
          <w:color w:val="000000"/>
          <w:sz w:val="21"/>
          <w:szCs w:val="21"/>
          <w:highlight w:val="none"/>
        </w:rPr>
        <w:t xml:space="preserve">由中标人支付的，中标人在领取中标通知书前须一次性向采购代理机构缴纳代理费，投标报价应包含代理费用。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27.2代理服务收费标准：见《供应商须知资料表》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27.3代理费收取账户信息：</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收款单位：江苏城建校工程咨询有限公司</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开户银行：江苏银行常州怀德支行 </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账号：81700188000089469</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32"/>
        <w:spacing w:line="360" w:lineRule="auto"/>
        <w:tabs>
          <w:tab w:val="left" w:pos="900" w:leader="none"/>
          <w:tab w:val="left" w:pos="1080" w:leader="none"/>
          <w:tab w:val="left" w:pos="1589"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032"/>
        <w:ind w:left="360"/>
        <w:spacing w:line="360" w:lineRule="auto"/>
        <w:tabs>
          <w:tab w:val="left" w:pos="360" w:leader="none"/>
          <w:tab w:val="left" w:pos="10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jc w:val="center"/>
        <w:spacing w:line="360" w:lineRule="auto"/>
        <w:rPr>
          <w:rStyle w:val="1217"/>
          <w:rFonts w:hint="eastAsia" w:ascii="仿宋" w:hAnsi="仿宋" w:eastAsia="仿宋" w:cs="仿宋"/>
          <w:color w:val="000000"/>
          <w:highlight w:val="none"/>
        </w:rPr>
        <w:outlineLvl w:val="0"/>
      </w:pPr>
      <w:r/>
      <w:bookmarkStart w:id="686" w:name="_Toc150774759"/>
      <w:r/>
      <w:bookmarkStart w:id="687" w:name="_Toc305158822"/>
      <w:r/>
      <w:bookmarkStart w:id="688" w:name="_Toc353825544"/>
      <w:r/>
      <w:bookmarkStart w:id="689" w:name="_Toc265228392"/>
      <w:r/>
      <w:bookmarkStart w:id="690" w:name="_Toc353873664"/>
      <w:r/>
      <w:bookmarkStart w:id="691" w:name="_Toc353873934"/>
      <w:r/>
      <w:bookmarkStart w:id="692" w:name="_Toc150480792"/>
      <w:r/>
      <w:bookmarkStart w:id="693" w:name="_Toc264969244"/>
      <w:r/>
      <w:bookmarkStart w:id="694" w:name="_Toc305158896"/>
      <w:r/>
      <w:bookmarkStart w:id="695" w:name="_Toc226965827"/>
      <w:r/>
      <w:bookmarkStart w:id="696" w:name="_Toc127151554"/>
      <w:r/>
      <w:bookmarkStart w:id="697" w:name="_Toc226337250"/>
      <w:r/>
      <w:bookmarkStart w:id="698" w:name="_Toc142311056"/>
      <w:r>
        <w:rPr>
          <w:rFonts w:hint="eastAsia" w:ascii="仿宋" w:hAnsi="仿宋" w:eastAsia="仿宋" w:cs="仿宋"/>
          <w:color w:val="000000"/>
          <w:sz w:val="24"/>
          <w:highlight w:val="none"/>
        </w:rPr>
        <w:br w:type="page" w:clear="all"/>
      </w:r>
      <w:bookmarkStart w:id="699" w:name="_Toc27092"/>
      <w:r>
        <w:rPr>
          <w:rStyle w:val="1217"/>
          <w:rFonts w:hint="eastAsia" w:ascii="仿宋" w:hAnsi="仿宋" w:eastAsia="仿宋" w:cs="仿宋"/>
          <w:color w:val="000000"/>
          <w:highlight w:val="none"/>
        </w:rPr>
        <w:t xml:space="preserve">第三章   </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rStyle w:val="1217"/>
          <w:rFonts w:hint="eastAsia" w:ascii="仿宋" w:hAnsi="仿宋" w:eastAsia="仿宋" w:cs="仿宋"/>
          <w:color w:val="000000"/>
          <w:highlight w:val="none"/>
        </w:rPr>
        <w:t xml:space="preserve">资格审查</w:t>
      </w:r>
      <w:bookmarkEnd w:id="699"/>
      <w:r/>
      <w:bookmarkStart w:id="700" w:name="_Toc487900382"/>
      <w:r>
        <w:rPr>
          <w:rStyle w:val="1217"/>
          <w:rFonts w:hint="eastAsia" w:ascii="仿宋" w:hAnsi="仿宋" w:eastAsia="仿宋" w:cs="仿宋"/>
          <w:color w:val="000000"/>
          <w:highlight w:val="none"/>
        </w:rPr>
      </w:r>
      <w:r/>
    </w:p>
    <w:p>
      <w:pPr>
        <w:pStyle w:val="1032"/>
        <w:jc w:val="center"/>
        <w:spacing w:line="360" w:lineRule="auto"/>
        <w:tabs>
          <w:tab w:val="left" w:pos="360" w:leader="none"/>
          <w:tab w:val="left" w:pos="900" w:leader="none"/>
        </w:tabs>
        <w:rPr>
          <w:rFonts w:hint="eastAsia" w:ascii="仿宋" w:hAnsi="仿宋" w:eastAsia="仿宋" w:cs="仿宋"/>
          <w:b/>
          <w:color w:val="000000"/>
          <w:sz w:val="24"/>
          <w:highlight w:val="none"/>
        </w:rPr>
        <w:outlineLvl w:val="1"/>
      </w:pPr>
      <w:r/>
      <w:bookmarkStart w:id="701" w:name="_Toc99301422"/>
      <w:r>
        <w:rPr>
          <w:rFonts w:hint="eastAsia" w:ascii="仿宋" w:hAnsi="仿宋" w:eastAsia="仿宋" w:cs="仿宋"/>
          <w:b/>
          <w:color w:val="000000"/>
          <w:sz w:val="24"/>
          <w:highlight w:val="none"/>
        </w:rPr>
        <w:t xml:space="preserve">一、资格审查程序</w:t>
      </w:r>
      <w:bookmarkEnd w:id="701"/>
      <w:r>
        <w:rPr>
          <w:rFonts w:hint="eastAsia" w:ascii="仿宋" w:hAnsi="仿宋" w:eastAsia="仿宋" w:cs="仿宋"/>
          <w:b/>
          <w:color w:val="000000"/>
          <w:sz w:val="24"/>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1.开标结束后，采购人将根据《资格审查要求》中的规定，对供应商进行资格审查，并形成资格审查结果。</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2.《资格审查要求》中对格式有要求的，除招标文件另有规定外，均为“实质性格式”文件。</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3.供应商《资格证明文件》有任何一项不符合《资格审查要求》的，资格审查不合格，其投标无效。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4.资格审查合格的供应商不足3家的，不进行评标。</w:t>
      </w:r>
      <w:r>
        <w:rPr>
          <w:rFonts w:hint="eastAsia" w:ascii="仿宋" w:hAnsi="仿宋" w:eastAsia="仿宋" w:cs="仿宋"/>
          <w:color w:val="000000"/>
          <w:sz w:val="21"/>
          <w:szCs w:val="21"/>
          <w:highlight w:val="none"/>
        </w:rPr>
      </w:r>
      <w:r/>
    </w:p>
    <w:p>
      <w:pPr>
        <w:pStyle w:val="1032"/>
        <w:ind w:firstLine="422"/>
        <w:jc w:val="center"/>
        <w:spacing w:line="360" w:lineRule="auto"/>
        <w:tabs>
          <w:tab w:val="left" w:pos="360" w:leader="none"/>
          <w:tab w:val="left" w:pos="900" w:leader="none"/>
        </w:tabs>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二、资格审查要求</w:t>
      </w:r>
      <w:r>
        <w:rPr>
          <w:rFonts w:hint="eastAsia" w:ascii="仿宋" w:hAnsi="仿宋" w:eastAsia="仿宋" w:cs="仿宋"/>
          <w:b/>
          <w:color w:val="000000"/>
          <w:szCs w:val="21"/>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642"/>
        <w:gridCol w:w="5213"/>
        <w:gridCol w:w="2202"/>
      </w:tblGrid>
      <w:tr>
        <w:trPr>
          <w:trHeight w:val="468"/>
          <w:tblHeader/>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b/>
                <w:color w:val="000000"/>
                <w:szCs w:val="21"/>
                <w:highlight w:val="none"/>
              </w:rPr>
            </w:pPr>
            <w:r/>
            <w:bookmarkStart w:id="702" w:name="_Hlt487972895"/>
            <w:r/>
            <w:bookmarkEnd w:id="702"/>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824" w:type="dxa"/>
            <w:vAlign w:val="center"/>
            <w:textDirection w:val="lrTb"/>
            <w:noWrap w:val="false"/>
          </w:tcPr>
          <w:p>
            <w:pPr>
              <w:pStyle w:val="1032"/>
              <w:jc w:val="center"/>
              <w:spacing w:line="240" w:lineRule="exact"/>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审查因素</w:t>
            </w:r>
            <w:r>
              <w:rPr>
                <w:rFonts w:hint="eastAsia" w:ascii="仿宋" w:hAnsi="仿宋" w:eastAsia="仿宋" w:cs="仿宋"/>
                <w:b/>
                <w:color w:val="000000"/>
                <w:szCs w:val="21"/>
                <w:highlight w:val="none"/>
              </w:rPr>
            </w:r>
            <w:r/>
          </w:p>
        </w:tc>
        <w:tc>
          <w:tcPr>
            <w:tcW w:w="2615" w:type="dxa"/>
            <w:vAlign w:val="center"/>
            <w:textDirection w:val="lrTb"/>
            <w:noWrap w:val="false"/>
          </w:tcPr>
          <w:p>
            <w:pPr>
              <w:pStyle w:val="1032"/>
              <w:jc w:val="center"/>
              <w:spacing w:line="240" w:lineRule="exact"/>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审查内容</w:t>
            </w:r>
            <w:r>
              <w:rPr>
                <w:rFonts w:hint="eastAsia" w:ascii="仿宋" w:hAnsi="仿宋" w:eastAsia="仿宋" w:cs="仿宋"/>
                <w:b/>
                <w:color w:val="000000"/>
                <w:szCs w:val="21"/>
                <w:highlight w:val="none"/>
              </w:rPr>
            </w:r>
            <w:r/>
          </w:p>
        </w:tc>
        <w:tc>
          <w:tcPr>
            <w:tcW w:w="1105" w:type="dxa"/>
            <w:vAlign w:val="center"/>
            <w:textDirection w:val="lrTb"/>
            <w:noWrap w:val="false"/>
          </w:tcPr>
          <w:p>
            <w:pPr>
              <w:pStyle w:val="1032"/>
              <w:jc w:val="center"/>
              <w:spacing w:line="240" w:lineRule="exact"/>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格式要求</w:t>
            </w:r>
            <w:r>
              <w:rPr>
                <w:rFonts w:hint="eastAsia" w:ascii="仿宋" w:hAnsi="仿宋" w:eastAsia="仿宋" w:cs="仿宋"/>
                <w:b/>
                <w:color w:val="000000"/>
                <w:szCs w:val="21"/>
                <w:highlight w:val="none"/>
              </w:rPr>
            </w:r>
            <w:r/>
          </w:p>
        </w:tc>
      </w:tr>
      <w:tr>
        <w:trPr>
          <w:trHeight w:val="468"/>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满足《中华人民共和国政府采购法》第二十二条规定及法律法规的其他规定</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至少应提供：</w:t>
            </w:r>
            <w:r>
              <w:rPr>
                <w:rFonts w:hint="eastAsia" w:ascii="仿宋" w:hAnsi="仿宋" w:eastAsia="仿宋" w:cs="仿宋"/>
                <w:color w:val="000000"/>
                <w:sz w:val="21"/>
                <w:szCs w:val="21"/>
                <w:highlight w:val="none"/>
                <w:lang w:val="en-US" w:eastAsia="zh-CN"/>
              </w:rPr>
            </w:r>
            <w:r/>
          </w:p>
          <w:p>
            <w:pPr>
              <w:pStyle w:val="1032"/>
              <w:shd w:val="clear" w:color="auto" w:fill="ffff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提供营业执照副本扫描件</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shd w:val="clear" w:color="auto" w:fill="ffffff"/>
              <w:rPr>
                <w:rFonts w:hint="eastAsia" w:ascii="仿宋" w:hAnsi="仿宋" w:eastAsia="仿宋" w:cs="仿宋"/>
                <w:b/>
                <w:bCs/>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上一</w:t>
            </w:r>
            <w:r>
              <w:rPr>
                <w:rFonts w:hint="eastAsia" w:ascii="仿宋" w:hAnsi="仿宋" w:eastAsia="仿宋" w:cs="仿宋"/>
                <w:color w:val="000000"/>
                <w:sz w:val="21"/>
                <w:szCs w:val="21"/>
                <w:highlight w:val="none"/>
                <w:lang w:val="en-US" w:eastAsia="zh-CN"/>
              </w:rPr>
              <w:t xml:space="preserve">年度的财务状况报告</w:t>
            </w:r>
            <w:r>
              <w:rPr>
                <w:rFonts w:hint="eastAsia" w:ascii="仿宋" w:hAnsi="仿宋" w:eastAsia="仿宋" w:cs="仿宋"/>
                <w:b/>
                <w:bCs/>
                <w:color w:val="000000"/>
                <w:sz w:val="21"/>
                <w:szCs w:val="21"/>
                <w:highlight w:val="none"/>
                <w:lang w:val="en-US" w:eastAsia="zh-CN"/>
              </w:rPr>
              <w:t xml:space="preserve">（成立不满一年不需提供），财务状况报告至少应包含资产负债表、利润表、现金流量表；</w:t>
            </w:r>
            <w:r>
              <w:rPr>
                <w:rFonts w:hint="eastAsia" w:ascii="仿宋" w:hAnsi="仿宋" w:eastAsia="仿宋" w:cs="仿宋"/>
                <w:b/>
                <w:bCs/>
                <w:color w:val="000000"/>
                <w:sz w:val="21"/>
                <w:szCs w:val="21"/>
                <w:highlight w:val="none"/>
                <w:lang w:val="en-US" w:eastAsia="zh-CN"/>
              </w:rPr>
            </w:r>
            <w:r/>
          </w:p>
          <w:p>
            <w:pPr>
              <w:pStyle w:val="1032"/>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依法缴纳税收和社会保障资金的相关材料（提供提交开标间前一年内至少一个月依法缴纳税收及缴纳社会保障资金的证明材料。供应商存在依法享受缓缴、免缴税收、社会保障资金的情形的，应提供证明材料）；</w:t>
            </w:r>
            <w:r>
              <w:rPr>
                <w:rFonts w:hint="eastAsia" w:ascii="仿宋" w:hAnsi="仿宋" w:eastAsia="仿宋" w:cs="仿宋"/>
                <w:color w:val="000000"/>
                <w:sz w:val="21"/>
                <w:szCs w:val="21"/>
                <w:highlight w:val="none"/>
                <w:lang w:val="en-US" w:eastAsia="zh-CN"/>
              </w:rPr>
            </w:r>
            <w:r/>
          </w:p>
          <w:p>
            <w:pPr>
              <w:pStyle w:val="1246"/>
              <w:spacing w:before="0" w:line="240" w:lineRule="exact"/>
              <w:tabs>
                <w:tab w:val="left" w:pos="567" w:leader="none"/>
              </w:tabs>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lang w:val="en-US" w:eastAsia="zh-CN"/>
              </w:rPr>
              <w:t xml:space="preserve">未提供或未按要求提供的资格审查不通过。</w:t>
            </w:r>
            <w:r>
              <w:rPr>
                <w:rFonts w:hint="eastAsia" w:ascii="仿宋" w:hAnsi="仿宋" w:eastAsia="仿宋" w:cs="仿宋"/>
                <w:color w:val="000000"/>
                <w:sz w:val="21"/>
                <w:szCs w:val="21"/>
                <w:highlight w:val="none"/>
              </w:rPr>
            </w:r>
            <w:r/>
          </w:p>
        </w:tc>
        <w:tc>
          <w:tcPr>
            <w:tcW w:w="1105" w:type="dxa"/>
            <w:vAlign w:val="center"/>
            <w:textDirection w:val="lrTb"/>
            <w:noWrap w:val="false"/>
          </w:tcPr>
          <w:p>
            <w:pPr>
              <w:pStyle w:val="1032"/>
              <w:spacing w:line="240" w:lineRule="exact"/>
              <w:tabs>
                <w:tab w:val="left" w:pos="1080" w:leader="none"/>
              </w:tabs>
              <w:rPr>
                <w:rFonts w:ascii="仿宋" w:hAnsi="仿宋" w:eastAsia="仿宋" w:cs="仿宋"/>
                <w:color w:val="000000"/>
                <w:szCs w:val="21"/>
                <w:highlight w:val="none"/>
              </w:rPr>
            </w:pPr>
            <w:r>
              <w:rPr>
                <w:rFonts w:hint="eastAsia" w:ascii="仿宋" w:hAnsi="仿宋" w:eastAsia="仿宋" w:cs="仿宋"/>
                <w:b/>
                <w:bCs/>
                <w:color w:val="000000"/>
                <w:highlight w:val="none"/>
                <w:lang w:val="en-US" w:eastAsia="zh-CN"/>
              </w:rPr>
              <w:t xml:space="preserve">按采购文件及“苏采云”系统明确的要求提供</w:t>
            </w:r>
            <w:r>
              <w:rPr>
                <w:rFonts w:hint="eastAsia" w:ascii="仿宋" w:hAnsi="仿宋" w:eastAsia="仿宋" w:cs="仿宋"/>
                <w:color w:val="000000"/>
                <w:szCs w:val="21"/>
                <w:highlight w:val="none"/>
              </w:rPr>
              <w:t xml:space="preserve">证明材料</w:t>
            </w:r>
            <w:r>
              <w:rPr>
                <w:rFonts w:hint="eastAsia" w:ascii="仿宋" w:hAnsi="仿宋" w:eastAsia="仿宋" w:cs="仿宋"/>
                <w:b/>
                <w:bCs/>
                <w:color w:val="000000"/>
                <w:highlight w:val="none"/>
                <w:lang w:val="en-US" w:eastAsia="zh-CN"/>
              </w:rPr>
              <w:t xml:space="preserve">并加盖公章</w:t>
            </w:r>
            <w:r>
              <w:rPr>
                <w:rFonts w:ascii="仿宋" w:hAnsi="仿宋" w:eastAsia="仿宋" w:cs="仿宋"/>
                <w:color w:val="000000"/>
                <w:szCs w:val="21"/>
                <w:highlight w:val="none"/>
              </w:rPr>
            </w:r>
            <w:r/>
          </w:p>
        </w:tc>
      </w:tr>
      <w:tr>
        <w:trPr>
          <w:trHeight w:val="468"/>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供应商资格声明函</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提供了符合招标文件要求的《供应商资格声明函》。</w:t>
            </w:r>
            <w:r>
              <w:rPr>
                <w:rFonts w:hint="eastAsia" w:ascii="仿宋" w:hAnsi="仿宋" w:eastAsia="仿宋" w:cs="仿宋"/>
                <w:b/>
                <w:bCs/>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格式见《投标文件格式》</w:t>
            </w:r>
            <w:r>
              <w:rPr>
                <w:rFonts w:hint="eastAsia" w:ascii="仿宋" w:hAnsi="仿宋" w:eastAsia="仿宋" w:cs="仿宋"/>
                <w:b/>
                <w:bCs/>
                <w:color w:val="000000"/>
                <w:szCs w:val="21"/>
                <w:highlight w:val="none"/>
              </w:rPr>
            </w:r>
            <w:r/>
          </w:p>
        </w:tc>
      </w:tr>
      <w:tr>
        <w:trPr>
          <w:trHeight w:val="76"/>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供应商信用记录</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查询渠道：信用中国网站和中国政府采购网（www.creditchina.gov.cn、www.ccgp.gov.cn）；</w:t>
            </w:r>
            <w:r>
              <w:rPr>
                <w:rFonts w:hint="eastAsia" w:ascii="仿宋" w:hAnsi="仿宋" w:eastAsia="仿宋" w:cs="仿宋"/>
                <w:color w:val="000000"/>
                <w:szCs w:val="21"/>
                <w:highlight w:val="none"/>
              </w:rPr>
            </w:r>
            <w:r/>
          </w:p>
          <w:p>
            <w:pPr>
              <w:pStyle w:val="1032"/>
              <w:spacing w:line="240" w:lineRule="exact"/>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截止时点：投标截止时间以后、资格审查阶段采购人或采购代理机构的实际查询时间；</w:t>
            </w:r>
            <w:r>
              <w:rPr>
                <w:rFonts w:hint="eastAsia" w:ascii="仿宋" w:hAnsi="仿宋" w:eastAsia="仿宋" w:cs="仿宋"/>
                <w:color w:val="000000"/>
                <w:szCs w:val="21"/>
                <w:highlight w:val="none"/>
              </w:rPr>
            </w:r>
            <w:r/>
          </w:p>
          <w:p>
            <w:pPr>
              <w:pStyle w:val="1032"/>
              <w:spacing w:line="240" w:lineRule="exact"/>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信用信息查询记录和证据留存具体方式：查询结果网页打印页作为查询记录和证据，与其他招标文件一并保存；</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用信息的使用原则：经认定的被列入失信被执行人、重大税收违法案件当事人名单、政府采购严重违法失信行为记录名单的供应商，其投标无效。联合体形式投标的，联合体成员存在不良信用记录，视同联合体存在不良信用记录。</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无须供应商提供，由采购人查询。</w:t>
            </w:r>
            <w:r>
              <w:rPr>
                <w:rFonts w:hint="eastAsia" w:ascii="仿宋" w:hAnsi="仿宋" w:eastAsia="仿宋" w:cs="仿宋"/>
                <w:color w:val="000000"/>
                <w:szCs w:val="21"/>
                <w:highlight w:val="none"/>
              </w:rPr>
            </w:r>
            <w:r/>
          </w:p>
        </w:tc>
      </w:tr>
      <w:tr>
        <w:trPr>
          <w:trHeight w:val="933"/>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落实政府采购政策需满足的资格要求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具体要求见第一章《投标邀请》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468"/>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中小企业声明函</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1.供应商单独投标的，应提供中小企业声明函；如为监狱企业或残疾人福利性单位，不必提供中小企业声明函，但须按注1或注2要求提供证明材料。</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注1：监狱企业须提供由省级以上监狱管理局（常州市含教育矫治局）、戒毒管理局（含新疆生产建设兵团）出具的属于监狱企业的证明文件。</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注2：残疾人福利性单位须按招标文件要求提供《残疾人福利性单位声明函》。</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如本项目（包）是专门面向中小企业采购的，必须提供，格式见《投标文件格式》</w:t>
            </w:r>
            <w:r>
              <w:rPr>
                <w:rFonts w:hint="eastAsia" w:ascii="仿宋" w:hAnsi="仿宋" w:eastAsia="仿宋" w:cs="仿宋"/>
                <w:b/>
                <w:bCs/>
                <w:color w:val="000000"/>
                <w:szCs w:val="21"/>
                <w:highlight w:val="none"/>
              </w:rPr>
            </w:r>
            <w:r/>
          </w:p>
        </w:tc>
      </w:tr>
      <w:tr>
        <w:trPr>
          <w:trHeight w:val="1203"/>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拟分包情况说明及分包意向协议（类型二）</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如本项目（包）要求通过分包措施预留部分采购份额面向中小企业采购、且供应商因落实政府采购政策拟进行分包的，必须提供；否则无须提供。</w:t>
            </w:r>
            <w:r>
              <w:rPr>
                <w:rFonts w:hint="eastAsia" w:ascii="仿宋" w:hAnsi="仿宋" w:eastAsia="仿宋" w:cs="仿宋"/>
                <w:color w:val="000000"/>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对于预留份额专门面向中小企业采购的项目（包），组成联合体或者接受分包合同的中小企业与联合体内其他企业、分包企业之间不得存在直接控股、管理关系。</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格式见《投标文件格式》</w:t>
            </w:r>
            <w:r>
              <w:rPr>
                <w:rFonts w:hint="eastAsia" w:ascii="仿宋" w:hAnsi="仿宋" w:eastAsia="仿宋" w:cs="仿宋"/>
                <w:color w:val="000000"/>
                <w:szCs w:val="21"/>
                <w:highlight w:val="none"/>
              </w:rPr>
            </w:r>
            <w:r/>
          </w:p>
        </w:tc>
      </w:tr>
      <w:tr>
        <w:trPr>
          <w:trHeight w:val="1203"/>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其它落实政府采购政策的资格要求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提供证明文件的扫描件加盖公章</w:t>
            </w:r>
            <w:r>
              <w:rPr>
                <w:rFonts w:hint="eastAsia" w:ascii="仿宋" w:hAnsi="仿宋" w:eastAsia="仿宋" w:cs="仿宋"/>
                <w:color w:val="000000"/>
                <w:szCs w:val="21"/>
                <w:highlight w:val="none"/>
              </w:rPr>
            </w:r>
            <w:r/>
          </w:p>
        </w:tc>
      </w:tr>
      <w:tr>
        <w:trPr>
          <w:trHeight w:val="650"/>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本项目的特定资格要求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0"/>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是否接受联合体投标</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如本项目接受联合体投标，且供应商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2.联合体各成员单位均须提供本表中序号1-1.1-2的证明文件。</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3.本表序号3-2项规定的其他特定资格要求中的每一小项要求，联合体各方中至少应当有一方符合本表中其他资格要求并提供证明文件。</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4.联合体中有同类资质的供应商按照联合体分工承担相同工作的，应当按照资质等级较低的供应商确定资质等级。</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6.若联合体中任一成员单位中途退出，则该联合体的</w:t>
            </w:r>
            <w:r>
              <w:rPr>
                <w:rFonts w:hint="eastAsia" w:ascii="仿宋" w:hAnsi="仿宋" w:eastAsia="仿宋" w:cs="仿宋"/>
                <w:b/>
                <w:color w:val="000000"/>
                <w:szCs w:val="21"/>
                <w:highlight w:val="none"/>
              </w:rPr>
              <w:t xml:space="preserve">投标无效</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7.本项目不接受联合体投标时，供应商不得为联合体。</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提供《联合协议》原件的电子件</w:t>
            </w:r>
            <w:r>
              <w:rPr>
                <w:rFonts w:hint="eastAsia" w:ascii="仿宋" w:hAnsi="仿宋" w:eastAsia="仿宋" w:cs="仿宋"/>
                <w:color w:val="000000"/>
                <w:szCs w:val="21"/>
                <w:highlight w:val="none"/>
              </w:rPr>
            </w:r>
            <w:r/>
          </w:p>
          <w:p>
            <w:pPr>
              <w:pStyle w:val="1283"/>
              <w:ind w:left="0" w:firstLine="0"/>
              <w:jc w:val="left"/>
              <w:spacing w:after="0" w:line="240" w:lineRule="exact"/>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rPr>
              <w:t xml:space="preserve">格式见《投标文件格式》</w:t>
            </w:r>
            <w:r>
              <w:rPr>
                <w:rFonts w:hint="eastAsia" w:ascii="仿宋" w:hAnsi="仿宋" w:eastAsia="仿宋" w:cs="仿宋"/>
                <w:color w:val="000000"/>
                <w:szCs w:val="21"/>
                <w:highlight w:val="none"/>
              </w:rPr>
            </w:r>
            <w:r/>
          </w:p>
        </w:tc>
      </w:tr>
      <w:tr>
        <w:trPr>
          <w:trHeight w:val="460"/>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其他特定资格要求（如有）</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提供证明文件的电子件或电子证照</w:t>
            </w:r>
            <w:r>
              <w:rPr>
                <w:rFonts w:hint="eastAsia" w:ascii="仿宋" w:hAnsi="仿宋" w:eastAsia="仿宋" w:cs="仿宋"/>
                <w:color w:val="000000"/>
                <w:szCs w:val="21"/>
                <w:highlight w:val="none"/>
              </w:rPr>
            </w:r>
            <w:r/>
          </w:p>
        </w:tc>
      </w:tr>
    </w:tbl>
    <w:p>
      <w:pPr>
        <w:pStyle w:val="1246"/>
        <w:tabs>
          <w:tab w:val="left" w:pos="567" w:leader="none"/>
        </w:tabs>
        <w:rPr>
          <w:rFonts w:hint="eastAsia" w:ascii="仿宋" w:hAnsi="仿宋" w:eastAsia="仿宋" w:cs="仿宋"/>
          <w:color w:val="000000"/>
          <w:highlight w:val="none"/>
        </w:rPr>
      </w:pPr>
      <w:r>
        <w:rPr>
          <w:rFonts w:hint="eastAsia" w:ascii="仿宋" w:hAnsi="仿宋" w:eastAsia="仿宋" w:cs="仿宋"/>
          <w:color w:val="000000"/>
          <w:szCs w:val="21"/>
          <w:highlight w:val="none"/>
        </w:rPr>
        <w:br w:type="page" w:clear="all"/>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00"/>
      <w:r>
        <w:rPr>
          <w:rFonts w:hint="eastAsia" w:ascii="仿宋" w:hAnsi="仿宋" w:eastAsia="仿宋" w:cs="仿宋"/>
          <w:color w:val="000000"/>
          <w:highlight w:val="none"/>
        </w:rPr>
      </w:r>
      <w:r/>
    </w:p>
    <w:p>
      <w:pPr>
        <w:pStyle w:val="1032"/>
        <w:jc w:val="center"/>
        <w:spacing w:line="360" w:lineRule="auto"/>
        <w:rPr>
          <w:rStyle w:val="1217"/>
          <w:rFonts w:hint="eastAsia" w:ascii="仿宋" w:hAnsi="仿宋" w:eastAsia="仿宋" w:cs="仿宋"/>
          <w:color w:val="000000"/>
          <w:highlight w:val="none"/>
        </w:rPr>
        <w:outlineLvl w:val="0"/>
      </w:pPr>
      <w:r/>
      <w:bookmarkStart w:id="703" w:name="_Toc353825550"/>
      <w:r/>
      <w:bookmarkStart w:id="704" w:name="_Toc127161490"/>
      <w:r/>
      <w:bookmarkStart w:id="705" w:name="_Toc226965858"/>
      <w:r/>
      <w:bookmarkStart w:id="706" w:name="_Toc127151779"/>
      <w:r/>
      <w:bookmarkStart w:id="707" w:name="_Toc353873940"/>
      <w:r/>
      <w:bookmarkStart w:id="708" w:name="_Toc19769"/>
      <w:r>
        <w:rPr>
          <w:rStyle w:val="1217"/>
          <w:rFonts w:hint="eastAsia" w:ascii="仿宋" w:hAnsi="仿宋" w:eastAsia="仿宋" w:cs="仿宋"/>
          <w:color w:val="000000"/>
          <w:highlight w:val="none"/>
        </w:rPr>
        <w:t xml:space="preserve">第四章   </w:t>
      </w:r>
      <w:bookmarkEnd w:id="703"/>
      <w:r/>
      <w:bookmarkEnd w:id="704"/>
      <w:r/>
      <w:bookmarkEnd w:id="705"/>
      <w:r/>
      <w:bookmarkEnd w:id="706"/>
      <w:r/>
      <w:bookmarkEnd w:id="707"/>
      <w:r/>
      <w:bookmarkStart w:id="709" w:name="_Hlt164229061"/>
      <w:r/>
      <w:bookmarkEnd w:id="709"/>
      <w:r>
        <w:rPr>
          <w:rStyle w:val="1217"/>
          <w:rFonts w:hint="eastAsia" w:ascii="仿宋" w:hAnsi="仿宋" w:eastAsia="仿宋" w:cs="仿宋"/>
          <w:color w:val="000000"/>
          <w:highlight w:val="none"/>
        </w:rPr>
        <w:t xml:space="preserve">评标程序、评标方法和评标标准</w:t>
      </w:r>
      <w:bookmarkEnd w:id="708"/>
      <w:r>
        <w:rPr>
          <w:rStyle w:val="1217"/>
          <w:rFonts w:hint="eastAsia" w:ascii="仿宋" w:hAnsi="仿宋" w:eastAsia="仿宋" w:cs="仿宋"/>
          <w:color w:val="000000"/>
          <w:highlight w:val="none"/>
        </w:rPr>
      </w:r>
      <w:r/>
    </w:p>
    <w:p>
      <w:pPr>
        <w:pStyle w:val="1032"/>
        <w:jc w:val="center"/>
        <w:spacing w:line="360" w:lineRule="auto"/>
        <w:tabs>
          <w:tab w:val="left" w:pos="360" w:leader="none"/>
          <w:tab w:val="left" w:pos="900" w:leader="none"/>
        </w:tabs>
        <w:rPr>
          <w:rFonts w:hint="eastAsia" w:ascii="仿宋" w:hAnsi="仿宋" w:eastAsia="仿宋" w:cs="仿宋"/>
          <w:b/>
          <w:color w:val="000000"/>
          <w:highlight w:val="none"/>
        </w:rPr>
        <w:outlineLvl w:val="1"/>
      </w:pPr>
      <w:r>
        <w:rPr>
          <w:rFonts w:hint="eastAsia" w:ascii="仿宋" w:hAnsi="仿宋" w:eastAsia="仿宋" w:cs="仿宋"/>
          <w:b/>
          <w:color w:val="000000"/>
          <w:sz w:val="24"/>
          <w:highlight w:val="none"/>
        </w:rPr>
        <w:t xml:space="preserve">一、评标程序</w:t>
      </w:r>
      <w:r>
        <w:rPr>
          <w:rFonts w:hint="eastAsia" w:ascii="仿宋" w:hAnsi="仿宋" w:eastAsia="仿宋" w:cs="仿宋"/>
          <w:b/>
          <w:color w:val="000000"/>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710" w:name="_Toc151193929"/>
      <w:r/>
      <w:bookmarkStart w:id="711" w:name="_Toc151193639"/>
      <w:r/>
      <w:bookmarkStart w:id="712" w:name="_Toc264969231"/>
      <w:r/>
      <w:bookmarkStart w:id="713" w:name="_Toc164608655"/>
      <w:r/>
      <w:bookmarkStart w:id="714" w:name="_Toc226309785"/>
      <w:r/>
      <w:bookmarkStart w:id="715" w:name="_Toc151190168"/>
      <w:r/>
      <w:bookmarkStart w:id="716" w:name="_Toc226965814"/>
      <w:r/>
      <w:bookmarkStart w:id="717" w:name="_Toc151193855"/>
      <w:r/>
      <w:bookmarkStart w:id="718" w:name="_Toc127151541"/>
      <w:r/>
      <w:bookmarkStart w:id="719" w:name="_Toc164351635"/>
      <w:r/>
      <w:bookmarkStart w:id="720" w:name="_Toc150774746"/>
      <w:r/>
      <w:bookmarkStart w:id="721" w:name="_Toc150774641"/>
      <w:r/>
      <w:bookmarkStart w:id="722" w:name="_Toc226337237"/>
      <w:r/>
      <w:bookmarkStart w:id="723" w:name="_Toc151193711"/>
      <w:r/>
      <w:bookmarkStart w:id="724" w:name="_Toc142311043"/>
      <w:r/>
      <w:bookmarkStart w:id="725" w:name="_Toc195842906"/>
      <w:r/>
      <w:bookmarkStart w:id="726" w:name="_Toc305158809"/>
      <w:r/>
      <w:bookmarkStart w:id="727" w:name="_Toc150480779"/>
      <w:r/>
      <w:bookmarkStart w:id="728" w:name="_Toc151193783"/>
      <w:r/>
      <w:bookmarkStart w:id="729" w:name="_Toc164608810"/>
      <w:r/>
      <w:bookmarkStart w:id="730" w:name="_Toc150509292"/>
      <w:r/>
      <w:bookmarkStart w:id="731" w:name="_Toc164229382"/>
      <w:r/>
      <w:bookmarkStart w:id="732" w:name="_Toc226965731"/>
      <w:r/>
      <w:bookmarkStart w:id="733" w:name="_Toc127161455"/>
      <w:r/>
      <w:bookmarkStart w:id="734" w:name="_Toc127151742"/>
      <w:r/>
      <w:bookmarkStart w:id="735" w:name="_Toc265228379"/>
      <w:r/>
      <w:bookmarkStart w:id="736" w:name="_Toc164229236"/>
      <w:r/>
      <w:bookmarkStart w:id="737" w:name="_Toc305158883"/>
      <w:r/>
      <w:bookmarkStart w:id="738" w:name="_Toc149720834"/>
      <w:r/>
      <w:bookmarkStart w:id="739" w:name="_Toc353873941"/>
      <w:r/>
      <w:bookmarkStart w:id="740" w:name="_Toc353825551"/>
      <w:r/>
      <w:bookmarkStart w:id="741" w:name="_Toc264969245"/>
      <w:r/>
      <w:bookmarkStart w:id="742" w:name="_Toc127151555"/>
      <w:r/>
      <w:bookmarkStart w:id="743" w:name="_Toc195842920"/>
      <w:r/>
      <w:bookmarkStart w:id="744" w:name="_Toc226337251"/>
      <w:r/>
      <w:bookmarkStart w:id="745" w:name="_Toc150774760"/>
      <w:r/>
      <w:bookmarkStart w:id="746" w:name="_Toc353873665"/>
      <w:r/>
      <w:bookmarkStart w:id="747" w:name="_Toc353825545"/>
      <w:r/>
      <w:bookmarkStart w:id="748" w:name="_Toc353873935"/>
      <w:r/>
      <w:bookmarkStart w:id="749" w:name="_Toc226965828"/>
      <w:r/>
      <w:bookmarkStart w:id="750" w:name="_Toc305158823"/>
      <w:r/>
      <w:bookmarkStart w:id="751" w:name="_Toc305158897"/>
      <w:r/>
      <w:bookmarkStart w:id="752" w:name="_Toc265228393"/>
      <w:r/>
      <w:bookmarkStart w:id="753" w:name="_Toc142311057"/>
      <w:r/>
      <w:bookmarkStart w:id="754" w:name="_Toc150480793"/>
      <w:r>
        <w:rPr>
          <w:rFonts w:hint="eastAsia" w:ascii="仿宋" w:hAnsi="仿宋" w:eastAsia="仿宋" w:cs="仿宋"/>
          <w:color w:val="000000"/>
          <w:sz w:val="21"/>
          <w:szCs w:val="21"/>
          <w:highlight w:val="none"/>
        </w:rPr>
        <w:t xml:space="preserve">1.投标文件的符合性审查</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1.1评标委员会对资格审查合格的供应商的投标文件进行符合性审查，以确定其是否满足招标文件的实质性要求。</w:t>
      </w:r>
      <w:bookmarkStart w:id="755" w:name="_Toc520356167"/>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评标委员会根据《符合性审查要求》中规定的审查因素和审查内容，对供应商的投标文件是否实质上响应招标文件进行符合性审查，并形成符合性审查评审结果。供应商《商务技术文件》有任何一项不符合《符合性审查要求》</w:t>
      </w:r>
      <w:bookmarkEnd w:id="755"/>
      <w:r>
        <w:rPr>
          <w:rFonts w:hint="eastAsia" w:ascii="仿宋" w:hAnsi="仿宋" w:eastAsia="仿宋" w:cs="仿宋"/>
          <w:color w:val="000000"/>
          <w:sz w:val="21"/>
          <w:szCs w:val="21"/>
          <w:highlight w:val="none"/>
        </w:rPr>
        <w:t xml:space="preserve">要求的，投标无效。</w:t>
      </w:r>
      <w:r>
        <w:rPr>
          <w:rFonts w:hint="eastAsia" w:ascii="仿宋" w:hAnsi="仿宋" w:eastAsia="仿宋" w:cs="仿宋"/>
          <w:color w:val="000000"/>
          <w:sz w:val="21"/>
          <w:szCs w:val="21"/>
          <w:highlight w:val="none"/>
        </w:rPr>
      </w:r>
      <w:r/>
    </w:p>
    <w:p>
      <w:pPr>
        <w:pStyle w:val="1032"/>
        <w:ind w:hanging="357"/>
        <w:jc w:val="center"/>
        <w:spacing w:line="360" w:lineRule="auto"/>
        <w:tabs>
          <w:tab w:val="left" w:pos="900" w:leader="none"/>
          <w:tab w:val="left" w:pos="1080" w:leader="none"/>
          <w:tab w:val="left" w:pos="1589"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符合性审查要求</w:t>
      </w:r>
      <w:r>
        <w:rPr>
          <w:rFonts w:hint="eastAsia" w:ascii="仿宋" w:hAnsi="仿宋" w:eastAsia="仿宋" w:cs="仿宋"/>
          <w:b/>
          <w:color w:val="000000"/>
          <w:sz w:val="24"/>
          <w:highlight w:val="none"/>
        </w:rPr>
      </w:r>
      <w:r/>
    </w:p>
    <w:tbl>
      <w:tblPr>
        <w:tblW w:w="52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305"/>
        <w:gridCol w:w="7189"/>
      </w:tblGrid>
      <w:tr>
        <w:trPr>
          <w:trHeight w:val="489"/>
          <w:tblHeader/>
        </w:trPr>
        <w:tc>
          <w:tcPr>
            <w:tcW w:w="353" w:type="dxa"/>
            <w:vAlign w:val="center"/>
            <w:textDirection w:val="lrTb"/>
            <w:noWrap w:val="false"/>
          </w:tcPr>
          <w:p>
            <w:pPr>
              <w:pStyle w:val="1032"/>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1128" w:type="dxa"/>
            <w:vAlign w:val="center"/>
            <w:textDirection w:val="lrTb"/>
            <w:noWrap w:val="false"/>
          </w:tcPr>
          <w:p>
            <w:pPr>
              <w:pStyle w:val="1032"/>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审查因素</w:t>
            </w:r>
            <w:r>
              <w:rPr>
                <w:rFonts w:hint="eastAsia" w:ascii="仿宋" w:hAnsi="仿宋" w:eastAsia="仿宋" w:cs="仿宋"/>
                <w:b/>
                <w:color w:val="000000"/>
                <w:szCs w:val="21"/>
                <w:highlight w:val="none"/>
              </w:rPr>
            </w:r>
            <w:r/>
          </w:p>
        </w:tc>
        <w:tc>
          <w:tcPr>
            <w:tcW w:w="3518" w:type="dxa"/>
            <w:vAlign w:val="center"/>
            <w:textDirection w:val="lrTb"/>
            <w:noWrap w:val="false"/>
          </w:tcPr>
          <w:p>
            <w:pPr>
              <w:pStyle w:val="1032"/>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审查内容</w:t>
            </w:r>
            <w:r>
              <w:rPr>
                <w:rFonts w:hint="eastAsia" w:ascii="仿宋" w:hAnsi="仿宋" w:eastAsia="仿宋" w:cs="仿宋"/>
                <w:b/>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投标函、法定代表人资格证明书、法定代表人授权委托书（如有）和政府采购供应商信用承诺书</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按招标文件要求提供投标函、法定代表人资格证明书、法定代表人授权委托书（如有）和政府采购供应商信用承诺书；格式见《投标文件格式》</w:t>
            </w:r>
            <w:r>
              <w:rPr>
                <w:rFonts w:hint="eastAsia" w:ascii="仿宋" w:hAnsi="仿宋" w:eastAsia="仿宋" w:cs="仿宋"/>
                <w:b/>
                <w:bCs/>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投标完整性</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未将一个采购包中的内容拆开投标；（由评委审查，无需供应商提供材料）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投标报价</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投标报价未超过招标文件中规定的项目/采购包预算金额或者项目</w:t>
            </w:r>
            <w:r>
              <w:rPr>
                <w:rFonts w:ascii="仿宋" w:hAnsi="仿宋" w:eastAsia="仿宋"/>
                <w:color w:val="000000"/>
                <w:szCs w:val="21"/>
                <w:highlight w:val="none"/>
              </w:rPr>
              <w:t xml:space="preserve">/</w:t>
            </w:r>
            <w:r>
              <w:rPr>
                <w:rFonts w:hint="eastAsia" w:ascii="仿宋" w:hAnsi="仿宋" w:eastAsia="仿宋"/>
                <w:color w:val="000000"/>
                <w:szCs w:val="21"/>
                <w:highlight w:val="none"/>
                <w:lang w:val="en-US" w:eastAsia="zh-CN"/>
              </w:rPr>
              <w:t xml:space="preserve">优惠率应＞0</w:t>
            </w:r>
            <w:r>
              <w:rPr>
                <w:rFonts w:hint="eastAsia" w:ascii="仿宋" w:hAnsi="仿宋" w:eastAsia="仿宋" w:cs="仿宋"/>
                <w:color w:val="000000"/>
                <w:szCs w:val="21"/>
                <w:highlight w:val="none"/>
              </w:rPr>
              <w:t xml:space="preserve">；（由评委审查，无需供应商提供材料）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报价唯一性</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投标文件未出现可选择性或可调整的报价（招标文件另有规定的除外）；提供《开标一览表》《投标分项报价表》，格式见《投标文件格式》</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投标有效期</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投标文件中承诺的投标有效期满足招标文件中载明的投标有效期的；</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详见响应函）</w:t>
            </w:r>
            <w:r>
              <w:rPr>
                <w:rFonts w:ascii="仿宋" w:hAnsi="仿宋" w:eastAsia="仿宋" w:cs="仿宋"/>
                <w:color w:val="000000"/>
                <w:szCs w:val="21"/>
                <w:highlight w:val="none"/>
                <w:lang w:val="en-US" w:eastAsia="zh-CN"/>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签署、加盖公章</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按照招标文件要求签署、加盖公章的；（由评委审查，无需供应商提供材料）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实质性格式</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标记为“实质性格式”的文件均按招标文件要求提供；除前面已提供的实质性格式文件以外，</w:t>
            </w:r>
            <w:r>
              <w:rPr>
                <w:rFonts w:hint="eastAsia" w:ascii="仿宋" w:hAnsi="仿宋" w:eastAsia="仿宋" w:cs="仿宋"/>
                <w:b/>
                <w:color w:val="000000"/>
                <w:szCs w:val="21"/>
                <w:highlight w:val="none"/>
              </w:rPr>
              <w:t xml:space="preserve">还需提供：合同条款偏离表，采购需求偏离表</w:t>
            </w:r>
            <w:r>
              <w:rPr>
                <w:rFonts w:hint="eastAsia" w:ascii="仿宋" w:hAnsi="仿宋" w:eastAsia="仿宋" w:cs="仿宋"/>
                <w:color w:val="000000"/>
                <w:szCs w:val="21"/>
                <w:highlight w:val="none"/>
              </w:rPr>
              <w:t xml:space="preserve">；格式见《投标文件格式》</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★号条款响应</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投标文件满足招标文件第五章《采购需求》中★号条款要求的；</w:t>
            </w:r>
            <w:r>
              <w:rPr>
                <w:rFonts w:hint="eastAsia" w:ascii="仿宋" w:hAnsi="仿宋" w:eastAsia="仿宋" w:cs="仿宋"/>
                <w:b/>
                <w:color w:val="000000"/>
                <w:szCs w:val="21"/>
                <w:highlight w:val="none"/>
              </w:rPr>
              <w:t xml:space="preserve">如有的，根据列出的实质性条款，按照序号逐项提供相关证明材料；</w:t>
            </w:r>
            <w:r>
              <w:rPr>
                <w:rFonts w:hint="eastAsia" w:ascii="仿宋" w:hAnsi="仿宋" w:eastAsia="仿宋" w:cs="仿宋"/>
                <w:color w:val="000000"/>
                <w:szCs w:val="21"/>
                <w:highlight w:val="none"/>
              </w:rPr>
              <w:t xml:space="preserve">如没有，则无需供应商提供材料。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分包承担主体资质（如有）</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分包承担主体具备《供应商须知资料表》载明的资质条件且提供了资质证书电子件（如有）；</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分包意向协议</w:t>
            </w: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按招标文件规定签订并提供分包意向协议原件的电子件的；（如有）格式见《投标文件格式》</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报价的修正（如有）</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不涉及报价修正，或投标文件报价出现前后不一致时，供应商对修正后的报价予以确认；（如有）（由评委审查，无需供应商提供材料）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报价合理性</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合理，或供应商的报价明显低于其他通过符合性审查供应商的报价，有可能影响产品质量或者不能诚信履约的，能够应评标委员会要求在规定时间内证明其报价合理性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进口产品</w:t>
            </w: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招标文件不接受进口产品投标的内容时，供应商所投产品非进口产品的；（由评委审查，无需供应商提供材料）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国家有关部门对供应商的投标产品有强制性规定或要求的</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国家有关部门对供应商的投标产品有强制性规定或要求的（如相应技术、安全、节能和环保等），供应商的投标产品应符合相应规定或要求，并提供证明文件电子件：</w:t>
            </w: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2）投标产品如涉及计算机信息系统安全专用产品的，须提供公安部颁发的计算机信息系统安全专用产品销售许可证；</w:t>
            </w: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绿色包装要求</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公平竞争</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供应商遵循公平竞争的原则，不存在恶意串通，妨碍其他供应商的竞争行为，不存在损害采购人或者其他供应商的合法权益情形的；（由评委审查，无需供应商提供材料）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17</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串通投标</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18</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附加条件</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投标文件未含有采购人不能接受的附加条件的；（由评委审查，无需供应商提供材料）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19</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其他无效情形</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供应商、投标文件不存在不符合法律、法规和招标文件规定的其他无效情形。（由评委审查，无需供应商提供材料）</w:t>
            </w:r>
            <w:r>
              <w:rPr>
                <w:rFonts w:hint="eastAsia" w:ascii="仿宋" w:hAnsi="仿宋" w:eastAsia="仿宋" w:cs="仿宋"/>
                <w:color w:val="000000"/>
                <w:szCs w:val="21"/>
                <w:highlight w:val="none"/>
              </w:rPr>
            </w:r>
            <w:r/>
          </w:p>
        </w:tc>
      </w:tr>
    </w:tbl>
    <w:p>
      <w:pPr>
        <w:pStyle w:val="1246"/>
        <w:tabs>
          <w:tab w:val="left" w:pos="567" w:leader="none"/>
        </w:tabs>
        <w:rPr>
          <w:rFonts w:hint="eastAsia" w:ascii="仿宋" w:hAnsi="仿宋" w:eastAsia="仿宋" w:cs="仿宋"/>
          <w:color w:val="000000"/>
          <w:highlight w:val="none"/>
        </w:rPr>
        <w:sectPr>
          <w:headerReference w:type="default" r:id="rId11"/>
          <w:headerReference w:type="even" r:id="rId12"/>
          <w:headerReference w:type="first" r:id="rId13"/>
          <w:footerReference w:type="default" r:id="rId21"/>
          <w:footerReference w:type="even" r:id="rId22"/>
          <w:footerReference w:type="first" r:id="rId23"/>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仿宋" w:hAnsi="仿宋" w:eastAsia="仿宋" w:cs="仿宋"/>
          <w:color w:val="000000"/>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2.投标文件有关事项的澄清或者说明</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rPr>
          <w:rFonts w:hint="eastAsia" w:ascii="仿宋" w:hAnsi="仿宋" w:eastAsia="仿宋" w:cs="仿宋"/>
          <w:color w:val="000000"/>
          <w:sz w:val="21"/>
          <w:szCs w:val="21"/>
          <w:highlight w:val="none"/>
        </w:rPr>
      </w:r>
      <w:r/>
    </w:p>
    <w:p>
      <w:pPr>
        <w:pStyle w:val="1309"/>
        <w:ind w:firstLine="422"/>
        <w:spacing w:line="360" w:lineRule="auto"/>
        <w:rPr>
          <w:rFonts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rPr>
        <w:t xml:space="preserve">★2.2异常低价投标(响应)审查:</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本项目不适用）</w:t>
      </w:r>
      <w:r>
        <w:rPr>
          <w:rFonts w:ascii="仿宋" w:hAnsi="仿宋" w:eastAsia="仿宋" w:cs="仿宋"/>
          <w:b/>
          <w:bCs/>
          <w:color w:val="000000"/>
          <w:sz w:val="21"/>
          <w:szCs w:val="21"/>
          <w:highlight w:val="none"/>
          <w:lang w:val="en-US" w:eastAsia="zh-CN"/>
        </w:rPr>
      </w:r>
      <w:r/>
    </w:p>
    <w:p>
      <w:pPr>
        <w:pStyle w:val="1309"/>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2.2.1评审过程中出现下列情形之一的，评标委员会应当启动异常低价投标(响应)审查程序:</w:t>
      </w:r>
      <w:r>
        <w:rPr>
          <w:rFonts w:hint="eastAsia" w:ascii="仿宋" w:hAnsi="仿宋" w:eastAsia="仿宋" w:cs="仿宋"/>
          <w:b/>
          <w:bCs/>
          <w:color w:val="000000"/>
          <w:sz w:val="21"/>
          <w:szCs w:val="21"/>
          <w:highlight w:val="none"/>
        </w:rPr>
      </w:r>
      <w:r/>
    </w:p>
    <w:p>
      <w:pPr>
        <w:pStyle w:val="1309"/>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（1）投标（响应）报价低于全部通过符合性审查的投标人投标（响应）报价平均值50%的，即投标（响应）报价&lt;全部通过符合性审查投标人投标（响应）报价平均值×50%；</w:t>
      </w:r>
      <w:r>
        <w:rPr>
          <w:rFonts w:hint="eastAsia" w:ascii="仿宋" w:hAnsi="仿宋" w:eastAsia="仿宋" w:cs="仿宋"/>
          <w:b/>
          <w:bCs/>
          <w:color w:val="000000"/>
          <w:sz w:val="21"/>
          <w:szCs w:val="21"/>
          <w:highlight w:val="none"/>
        </w:rPr>
      </w:r>
      <w:r/>
    </w:p>
    <w:p>
      <w:pPr>
        <w:pStyle w:val="1309"/>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（2）投标（响应）报价低于通过符合性审查的次低报价投标人投标（响应）报价50%的，即投标（响应）报价&lt;通过符合性审查的次低报价投标人投标（响应）报价×50%；</w:t>
      </w:r>
      <w:r>
        <w:rPr>
          <w:rFonts w:hint="eastAsia" w:ascii="仿宋" w:hAnsi="仿宋" w:eastAsia="仿宋" w:cs="仿宋"/>
          <w:b/>
          <w:bCs/>
          <w:color w:val="000000"/>
          <w:sz w:val="21"/>
          <w:szCs w:val="21"/>
          <w:highlight w:val="none"/>
        </w:rPr>
      </w:r>
      <w:r/>
    </w:p>
    <w:p>
      <w:pPr>
        <w:pStyle w:val="1309"/>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（3）投标（响应）报价低于采购项目最高限价45%的，即投标（响应）报价&lt;采购项目最高限价×45%；</w:t>
      </w:r>
      <w:r>
        <w:rPr>
          <w:rFonts w:hint="eastAsia" w:ascii="仿宋" w:hAnsi="仿宋" w:eastAsia="仿宋" w:cs="仿宋"/>
          <w:b/>
          <w:bCs/>
          <w:color w:val="000000"/>
          <w:sz w:val="21"/>
          <w:szCs w:val="21"/>
          <w:highlight w:val="none"/>
        </w:rPr>
      </w:r>
      <w:r/>
    </w:p>
    <w:p>
      <w:pPr>
        <w:pStyle w:val="1309"/>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（4）评标委员会基于专业判断，认为投标人报价过低，有可能影响产品质量或者不能诚信履约的其他情形。</w:t>
      </w:r>
      <w:r>
        <w:rPr>
          <w:rFonts w:hint="eastAsia" w:ascii="仿宋" w:hAnsi="仿宋" w:eastAsia="仿宋" w:cs="仿宋"/>
          <w:b/>
          <w:bCs/>
          <w:color w:val="000000"/>
          <w:sz w:val="21"/>
          <w:szCs w:val="21"/>
          <w:highlight w:val="none"/>
        </w:rPr>
      </w:r>
      <w:r/>
    </w:p>
    <w:p>
      <w:pPr>
        <w:pStyle w:val="1309"/>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2.2.2启动异常低价投标(响应)审查后，评标委员会应当要求相关投标人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审查相关情况应当在评审报告中进行记录。</w:t>
      </w:r>
      <w:r>
        <w:rPr>
          <w:rFonts w:hint="eastAsia" w:ascii="仿宋" w:hAnsi="仿宋" w:eastAsia="仿宋" w:cs="仿宋"/>
          <w:b/>
          <w:bCs/>
          <w:color w:val="000000"/>
          <w:sz w:val="21"/>
          <w:szCs w:val="21"/>
          <w:highlight w:val="none"/>
        </w:rPr>
      </w:r>
      <w:r/>
    </w:p>
    <w:p>
      <w:pPr>
        <w:pStyle w:val="1309"/>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如涉嫌恶意竞争,扰乱市场秩序的，投标人自行承担由此而产生的任何法律责任。招标人、代理机构对此不承担任何责任。若投标人不能证明其报价合理性，评标委员会将其作为无效投标处理。</w:t>
      </w:r>
      <w:r>
        <w:rPr>
          <w:rFonts w:hint="eastAsia" w:ascii="仿宋" w:hAnsi="仿宋" w:eastAsia="仿宋" w:cs="仿宋"/>
          <w:b/>
          <w:bCs/>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投标报价须包含招标文件全部内容，如投标分项报价表有缺漏视为已含在其他各项报价中，将不对投标总价进行调整。评标委员会有权要求供应商在规定的时间内对此进行书面确认，供应商不确认的，视为将一个采购包中的内容拆开投标，其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2.4投标文件报价出现前后不一致的，按照下列规定修正：</w:t>
      </w:r>
      <w:r>
        <w:rPr>
          <w:rFonts w:hint="eastAsia" w:ascii="仿宋" w:hAnsi="仿宋" w:eastAsia="仿宋" w:cs="仿宋"/>
          <w:color w:val="000000"/>
          <w:sz w:val="21"/>
          <w:szCs w:val="21"/>
          <w:highlight w:val="none"/>
        </w:rPr>
      </w:r>
      <w:r/>
    </w:p>
    <w:p>
      <w:pPr>
        <w:pStyle w:val="1309"/>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2.4.1招标文件对于报价修正是否另有规定：无，按下述2.4.2-2.4.7项规定修正。</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2.4.2单独递交的开标一览表（报价表）与投标文件中开标一览表（报价表）内容不一致的，以单独递交的开标一览表（报价表）为准；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2.4.3投标文件中开标一览表（报价表）内容与投标文件中相应内容不一致的，以开标一览表（报价表）为准；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2.4.4大写金额和小写金额不一致的，以大写金额为准；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2.4.5单价金额小数点或者百分比有明显错位的，以开标一览表的总价为准，并修改单价；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2.4.6总价金额与按单价汇总金额不一致的，以单价金额计算结果为准。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2.4.7同时出现两种以上不一致的，按照前款规定的顺序修正。修正后的报价经供应商书面确认后产生约束力，供应商不确认的，其投标无效。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2.5落实政府采购政策的价格调整：只有符合第二章《供应商须知》5.2条规定情形的，可以享受中小企业扶持政策，用扣除后的价格参加评审；</w:t>
      </w:r>
      <w:r>
        <w:rPr>
          <w:rFonts w:hint="eastAsia" w:ascii="仿宋" w:hAnsi="仿宋" w:eastAsia="仿宋" w:cs="仿宋"/>
          <w:b/>
          <w:bCs/>
          <w:color w:val="000000"/>
          <w:sz w:val="21"/>
          <w:szCs w:val="21"/>
          <w:highlight w:val="none"/>
        </w:rPr>
        <w:t xml:space="preserve">如为专门面向中小企业采购的项目，不再执行价格评审优惠的扶持政策，</w:t>
      </w:r>
      <w:r>
        <w:rPr>
          <w:rFonts w:hint="eastAsia" w:ascii="仿宋" w:hAnsi="仿宋" w:eastAsia="仿宋" w:cs="仿宋"/>
          <w:color w:val="000000"/>
          <w:sz w:val="21"/>
          <w:szCs w:val="21"/>
          <w:highlight w:val="none"/>
        </w:rPr>
        <w:t xml:space="preserve">评标时价格不予扣除。</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w:t>
      </w:r>
      <w:r>
        <w:rPr>
          <w:rFonts w:hint="eastAsia" w:ascii="仿宋" w:hAnsi="仿宋" w:eastAsia="仿宋" w:cs="仿宋"/>
          <w:b/>
          <w:bCs/>
          <w:color w:val="000000"/>
          <w:sz w:val="21"/>
          <w:szCs w:val="21"/>
          <w:highlight w:val="none"/>
        </w:rPr>
        <w:t xml:space="preserve">对于未预留份额专门面向中小企业采购的采购项目，以及预留份额项目中的非预留部分采购包，对小微企业报价给予20%的扣除</w:t>
      </w:r>
      <w:r>
        <w:rPr>
          <w:rFonts w:hint="eastAsia" w:ascii="仿宋" w:hAnsi="仿宋" w:eastAsia="仿宋" w:cs="仿宋"/>
          <w:color w:val="000000"/>
          <w:sz w:val="21"/>
          <w:szCs w:val="21"/>
          <w:highlight w:val="none"/>
        </w:rPr>
        <w:t xml:space="preserve">，用扣除后的价格参加评审。</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2.5.3组成联合体或者接受分包的小微企业与联合体内其他企业、分包企业之间存在直接控股、管理关系的，不享受价格扣除优惠政策。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2.5.4价格扣除比例对小型企业和微型企业同等对待，不作区分。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2.5.5中小企业参加政府采购活动，应当按照招标文件给定的格式出具《中小企业声明函》，否则不得享受相关中小企业扶持政策。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2.5.6监狱企业提供了由省级以上监狱管理局（常州市含教育矫治局）、戒毒管理局（含新疆生产建设兵团）出具的属于监狱企业的证明文件的，视同小微企业。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2.5.7残疾人福利性单位按招标文件要求提供了《残疾人福利性单位声明函》（见附件）的，视同小微企业。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2.5.8若供应商同时属于小型或微型企业、监狱企业、残疾人福利性单位中的两种及以上，将不重复享受小微企业价格扣减的优惠政策。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2.5.9采购本国产品的支持政策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2.5.9.2当采购项目或者采购包中含有多种产品，供应商为该采购项目或者采购包提供的符合本国产品标准的产品成本之和占该供应商提供的全部产品成本之和的比例</w:t>
      </w:r>
      <w:r>
        <w:rPr>
          <w:rFonts w:hint="eastAsia" w:ascii="仿宋" w:hAnsi="仿宋" w:eastAsia="仿宋" w:cs="仿宋"/>
          <w:b/>
          <w:bCs/>
          <w:color w:val="000000"/>
          <w:sz w:val="21"/>
          <w:szCs w:val="21"/>
          <w:highlight w:val="none"/>
        </w:rPr>
        <w:t xml:space="preserve">达到80%</w:t>
      </w:r>
      <w:r>
        <w:rPr>
          <w:rFonts w:hint="eastAsia" w:ascii="仿宋" w:hAnsi="仿宋" w:eastAsia="仿宋" w:cs="仿宋"/>
          <w:color w:val="000000"/>
          <w:sz w:val="21"/>
          <w:szCs w:val="21"/>
          <w:highlight w:val="none"/>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w:t>
      </w:r>
      <w:r>
        <w:rPr>
          <w:rFonts w:hint="eastAsia" w:ascii="仿宋" w:hAnsi="仿宋" w:eastAsia="仿宋" w:cs="仿宋"/>
          <w:b/>
          <w:bCs/>
          <w:color w:val="000000"/>
          <w:sz w:val="21"/>
          <w:szCs w:val="21"/>
          <w:highlight w:val="none"/>
        </w:rPr>
        <w:t xml:space="preserve">未达到80%</w:t>
      </w:r>
      <w:r>
        <w:rPr>
          <w:rFonts w:hint="eastAsia" w:ascii="仿宋" w:hAnsi="仿宋" w:eastAsia="仿宋" w:cs="仿宋"/>
          <w:color w:val="000000"/>
          <w:sz w:val="21"/>
          <w:szCs w:val="21"/>
          <w:highlight w:val="none"/>
        </w:rPr>
        <w:t xml:space="preserve">的，将不享受本国产品价格评审优惠。</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2.5.9.3供应商需按照招标文件的要求提供《关于符合本国产品标准的声明函》（以下简称《声明函》），如不提供将不享受本国产品价格评审优惠。</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3.投标文件的比较和评价</w:t>
      </w:r>
      <w:bookmarkEnd w:id="739"/>
      <w:r/>
      <w:bookmarkEnd w:id="740"/>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3.2评标方法和评标标准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3.2.1本项目采用的评标方法为：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□最低评标价法，指投标文件满足招标文件全部实质性要求，且投标报价最低的供应商为中标候选人的评标方法。</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756" w:name="_Hlk107696993"/>
      <w:r>
        <w:rPr>
          <w:rFonts w:hint="eastAsia" w:ascii="仿宋" w:hAnsi="仿宋" w:eastAsia="仿宋" w:cs="仿宋"/>
          <w:color w:val="000000"/>
          <w:sz w:val="21"/>
          <w:szCs w:val="21"/>
          <w:highlight w:val="none"/>
        </w:rPr>
        <w:t xml:space="preserve">■随机抽取</w:t>
      </w:r>
      <w:bookmarkEnd w:id="756"/>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3.2.3非政府强制采购的节能产品或环境标志产品，依据品目清单和认证证书实施政府优先采购。优先采购的具体规定（如涉及）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3.2.4关于无线局域网认证产品政府采购清单中的产品，优先采购的具体规定（如涉及）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4.确定</w:t>
      </w:r>
      <w:bookmarkStart w:id="757" w:name="_Toc150509297"/>
      <w:r/>
      <w:bookmarkStart w:id="758" w:name="_Toc151193860"/>
      <w:r/>
      <w:bookmarkStart w:id="759" w:name="_Toc520356170"/>
      <w:r/>
      <w:bookmarkStart w:id="760" w:name="_Toc127161460"/>
      <w:r/>
      <w:bookmarkStart w:id="761" w:name="_Toc164351640"/>
      <w:r/>
      <w:bookmarkStart w:id="762" w:name="_Toc127151546"/>
      <w:r/>
      <w:bookmarkStart w:id="763" w:name="_Toc151193934"/>
      <w:r/>
      <w:bookmarkStart w:id="764" w:name="_Toc151190173"/>
      <w:r/>
      <w:bookmarkStart w:id="765" w:name="_Toc226309790"/>
      <w:r/>
      <w:bookmarkStart w:id="766" w:name="_Toc127151747"/>
      <w:r/>
      <w:bookmarkStart w:id="767" w:name="_Toc305158888"/>
      <w:r/>
      <w:bookmarkStart w:id="768" w:name="_Toc142311048"/>
      <w:r/>
      <w:bookmarkStart w:id="769" w:name="_Toc305158814"/>
      <w:r/>
      <w:bookmarkStart w:id="770" w:name="_Toc149720839"/>
      <w:r/>
      <w:bookmarkStart w:id="771" w:name="_Toc164229241"/>
      <w:r/>
      <w:bookmarkStart w:id="772" w:name="_Toc164608815"/>
      <w:r/>
      <w:bookmarkStart w:id="773" w:name="_Toc151193644"/>
      <w:r/>
      <w:bookmarkStart w:id="774" w:name="_Toc195842911"/>
      <w:r/>
      <w:bookmarkStart w:id="775" w:name="_Toc226965819"/>
      <w:r/>
      <w:bookmarkStart w:id="776" w:name="_Toc150774751"/>
      <w:r/>
      <w:bookmarkStart w:id="777" w:name="_Toc164608660"/>
      <w:r/>
      <w:bookmarkStart w:id="778" w:name="_Toc226337242"/>
      <w:r/>
      <w:bookmarkStart w:id="779" w:name="_Toc151193716"/>
      <w:r/>
      <w:bookmarkStart w:id="780" w:name="_Toc150774646"/>
      <w:r/>
      <w:bookmarkStart w:id="781" w:name="_Toc164229387"/>
      <w:r/>
      <w:bookmarkStart w:id="782" w:name="_Toc150480784"/>
      <w:r/>
      <w:bookmarkStart w:id="783" w:name="_Toc226965736"/>
      <w:r/>
      <w:bookmarkStart w:id="784" w:name="_Ref467307010"/>
      <w:r/>
      <w:bookmarkStart w:id="785" w:name="_Toc265228384"/>
      <w:r/>
      <w:bookmarkStart w:id="786" w:name="_Toc151193788"/>
      <w:r/>
      <w:bookmarkStart w:id="787" w:name="_Toc264969236"/>
      <w:r>
        <w:rPr>
          <w:rFonts w:hint="eastAsia" w:ascii="仿宋" w:hAnsi="仿宋" w:eastAsia="仿宋" w:cs="仿宋"/>
          <w:color w:val="000000"/>
          <w:sz w:val="21"/>
          <w:szCs w:val="21"/>
          <w:highlight w:val="none"/>
        </w:rPr>
        <w:t xml:space="preserve">中标候选人名单</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■随机抽取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4.3采用最低评标价法时，评标结果按本章2.4、2.5调整后的投标报价由低到高顺序排列。投标报价相同的并列。投标文件满足招标文件全部实质性要求且投标报价最低的供应商为排名第一的中标候选人。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4.4评标委员会要对评分汇总情况进行复核，特别是对排名第一的、报价最低的、投标或投标文件被认定为无效的情形进行重点复核。</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4.5评标委员会将根据各供应商的评标排序，依次推荐本项目（各采购包）的中标候选人，起草并签署评标报告。本项目（各采购包）评标委员会共（各）推荐不少于3名中标候选人。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5.报告违法行为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5.1评标委员会在评标过程中发现供应商有行贿、提供虚假材料或者串通等违法行为时，有向采购人、采购代理机构或者有关部门报告的职责。</w:t>
      </w:r>
      <w:r>
        <w:rPr>
          <w:rFonts w:hint="eastAsia" w:ascii="仿宋" w:hAnsi="仿宋" w:eastAsia="仿宋" w:cs="仿宋"/>
          <w:color w:val="000000"/>
          <w:sz w:val="21"/>
          <w:szCs w:val="21"/>
          <w:highlight w:val="none"/>
        </w:rPr>
      </w:r>
      <w:r/>
    </w:p>
    <w:p>
      <w:pPr>
        <w:pStyle w:val="1032"/>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032"/>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br w:type="page" w:clear="all"/>
      </w:r>
      <w:r>
        <w:rPr>
          <w:rFonts w:hint="eastAsia" w:ascii="仿宋" w:hAnsi="仿宋" w:eastAsia="仿宋" w:cs="仿宋"/>
          <w:b/>
          <w:color w:val="000000"/>
          <w:sz w:val="24"/>
          <w:highlight w:val="none"/>
        </w:rPr>
        <w:t xml:space="preserve">二、评标标准</w:t>
      </w:r>
      <w:r>
        <w:rPr>
          <w:rFonts w:hint="eastAsia" w:ascii="仿宋" w:hAnsi="仿宋" w:eastAsia="仿宋" w:cs="仿宋"/>
          <w:b/>
          <w:color w:val="000000"/>
          <w:szCs w:val="21"/>
          <w:highlight w:val="none"/>
        </w:rPr>
      </w:r>
      <w:r/>
    </w:p>
    <w:tbl>
      <w:tblPr>
        <w:tblW w:w="504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981"/>
        <w:gridCol w:w="4998"/>
        <w:gridCol w:w="831"/>
        <w:gridCol w:w="636"/>
        <w:gridCol w:w="765"/>
        <w:gridCol w:w="761"/>
      </w:tblGrid>
      <w:tr>
        <w:trPr>
          <w:trHeight w:val="420"/>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序号</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9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评分因素</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537"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评分标准和评审材料</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最低分值</w:t>
            </w:r>
            <w:r>
              <w:rPr>
                <w:rFonts w:hint="eastAsia" w:ascii="仿宋" w:hAnsi="仿宋" w:eastAsia="仿宋" w:cs="仿宋"/>
                <w:b w:val="0"/>
                <w:bCs w:val="0"/>
                <w:color w:val="000000"/>
                <w:sz w:val="21"/>
                <w:szCs w:val="21"/>
                <w:highlight w:val="none"/>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最高分值</w:t>
            </w:r>
            <w:r>
              <w:rPr>
                <w:rFonts w:hint="eastAsia" w:ascii="仿宋" w:hAnsi="仿宋" w:eastAsia="仿宋" w:cs="仿宋"/>
                <w:b w:val="0"/>
                <w:bCs w:val="0"/>
                <w:color w:val="000000"/>
                <w:sz w:val="21"/>
                <w:szCs w:val="21"/>
                <w:highlight w:val="none"/>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是否暗标评审</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是否客观分</w:t>
            </w:r>
            <w:r>
              <w:rPr>
                <w:rFonts w:hint="eastAsia" w:ascii="仿宋" w:hAnsi="仿宋" w:eastAsia="仿宋" w:cs="仿宋"/>
                <w:b w:val="0"/>
                <w:bCs w:val="0"/>
                <w:color w:val="000000"/>
                <w:sz w:val="21"/>
                <w:szCs w:val="21"/>
                <w:highlight w:val="none"/>
              </w:rPr>
            </w:r>
            <w:r/>
          </w:p>
        </w:tc>
      </w:tr>
      <w:tr>
        <w:trPr>
          <w:trHeight w:val="420"/>
        </w:trPr>
        <w:tc>
          <w:tcPr>
            <w:tcW w:w="873" w:type="dxa"/>
            <w:vAlign w:val="center"/>
            <w:textDirection w:val="lrTb"/>
            <w:noWrap w:val="false"/>
          </w:tcPr>
          <w:p>
            <w:pPr>
              <w:pStyle w:val="1032"/>
              <w:jc w:val="center"/>
              <w:rPr>
                <w:rFonts w:hint="eastAsia" w:ascii="仿宋" w:hAnsi="仿宋" w:eastAsia="仿宋" w:cs="仿宋"/>
                <w:b w:val="0"/>
                <w:bCs w:val="0"/>
                <w:color w:val="000000"/>
                <w:sz w:val="21"/>
                <w:szCs w:val="21"/>
                <w:highlight w:val="none"/>
              </w:rPr>
            </w:pPr>
            <w:r>
              <w:rPr>
                <w:rStyle w:val="1489"/>
                <w:rFonts w:hint="eastAsia" w:ascii="仿宋" w:hAnsi="仿宋" w:eastAsia="仿宋" w:cs="仿宋"/>
                <w:b w:val="0"/>
                <w:bCs w:val="0"/>
                <w:color w:val="000000"/>
                <w:sz w:val="21"/>
                <w:szCs w:val="21"/>
                <w:highlight w:val="none"/>
                <w:lang w:val="en-US" w:eastAsia="zh-CN"/>
              </w:rPr>
              <w:t xml:space="preserve">1</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981" w:type="dxa"/>
            <w:vAlign w:val="center"/>
            <w:textDirection w:val="lrTb"/>
            <w:noWrap w:val="false"/>
          </w:tcPr>
          <w:p>
            <w:pPr>
              <w:pStyle w:val="1032"/>
              <w:jc w:val="center"/>
              <w:rPr>
                <w:rFonts w:hint="eastAsia" w:ascii="仿宋" w:hAnsi="仿宋" w:eastAsia="仿宋" w:cs="仿宋"/>
                <w:b w:val="0"/>
                <w:bCs w:val="0"/>
                <w:color w:val="000000"/>
                <w:sz w:val="21"/>
                <w:szCs w:val="21"/>
                <w:highlight w:val="none"/>
              </w:rPr>
            </w:pPr>
            <w:r>
              <w:rPr>
                <w:rStyle w:val="1489"/>
                <w:rFonts w:hint="eastAsia" w:ascii="仿宋" w:hAnsi="仿宋" w:eastAsia="仿宋" w:cs="仿宋"/>
                <w:b w:val="0"/>
                <w:bCs w:val="0"/>
                <w:color w:val="000000"/>
                <w:sz w:val="21"/>
                <w:szCs w:val="21"/>
                <w:highlight w:val="none"/>
                <w:lang w:val="en-US" w:eastAsia="zh-CN"/>
              </w:rPr>
              <w:t xml:space="preserve">价格分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998" w:type="dxa"/>
            <w:vAlign w:val="center"/>
            <w:textDirection w:val="lrTb"/>
            <w:noWrap w:val="false"/>
          </w:tcPr>
          <w:p>
            <w:pPr>
              <w:pStyle w:val="1032"/>
              <w:ind w:right="0"/>
              <w:jc w:val="left"/>
              <w:keepLines w:val="0"/>
              <w:keepNext w:val="0"/>
              <w:pageBreakBefore w:val="0"/>
              <w:spacing w:line="240" w:lineRule="exact"/>
              <w:shd w:val="clear" w:color="auto" w:fill="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采用</w:t>
            </w:r>
            <w:r>
              <w:rPr>
                <w:rFonts w:hint="eastAsia" w:ascii="仿宋" w:hAnsi="仿宋" w:eastAsia="仿宋" w:cs="仿宋"/>
                <w:b w:val="0"/>
                <w:bCs w:val="0"/>
                <w:color w:val="000000"/>
                <w:sz w:val="21"/>
                <w:szCs w:val="21"/>
                <w:highlight w:val="none"/>
                <w:lang w:val="en-US" w:eastAsia="zh-CN"/>
              </w:rPr>
              <w:t xml:space="preserve">优惠最多</w:t>
            </w:r>
            <w:r>
              <w:rPr>
                <w:rFonts w:hint="eastAsia" w:ascii="仿宋" w:hAnsi="仿宋" w:eastAsia="仿宋" w:cs="仿宋"/>
                <w:b w:val="0"/>
                <w:bCs w:val="0"/>
                <w:color w:val="000000"/>
                <w:sz w:val="21"/>
                <w:szCs w:val="21"/>
                <w:highlight w:val="none"/>
              </w:rPr>
              <w:t xml:space="preserve">优先法计算，即满足招标文件要求且</w:t>
            </w:r>
            <w:r>
              <w:rPr>
                <w:rFonts w:hint="eastAsia" w:ascii="仿宋" w:hAnsi="仿宋" w:eastAsia="仿宋" w:cs="仿宋"/>
                <w:b w:val="0"/>
                <w:bCs w:val="0"/>
                <w:color w:val="000000"/>
                <w:sz w:val="21"/>
                <w:szCs w:val="21"/>
                <w:highlight w:val="none"/>
                <w:lang w:val="en-US" w:eastAsia="zh-CN"/>
              </w:rPr>
              <w:t xml:space="preserve">优惠率最高</w:t>
            </w:r>
            <w:r>
              <w:rPr>
                <w:rFonts w:hint="eastAsia" w:ascii="仿宋" w:hAnsi="仿宋" w:eastAsia="仿宋" w:cs="仿宋"/>
                <w:b w:val="0"/>
                <w:bCs w:val="0"/>
                <w:color w:val="000000"/>
                <w:sz w:val="21"/>
                <w:szCs w:val="21"/>
                <w:highlight w:val="none"/>
              </w:rPr>
              <w:t xml:space="preserve">的投标报价为</w:t>
            </w:r>
            <w:r>
              <w:rPr>
                <w:rFonts w:hint="eastAsia" w:ascii="仿宋" w:hAnsi="仿宋" w:eastAsia="仿宋" w:cs="仿宋"/>
                <w:b w:val="0"/>
                <w:bCs w:val="0"/>
                <w:color w:val="000000"/>
                <w:sz w:val="21"/>
                <w:szCs w:val="21"/>
                <w:highlight w:val="none"/>
                <w:lang w:val="en-US" w:eastAsia="zh-CN"/>
              </w:rPr>
              <w:t xml:space="preserve">评标</w:t>
            </w:r>
            <w:r>
              <w:rPr>
                <w:rFonts w:hint="eastAsia" w:ascii="仿宋" w:hAnsi="仿宋" w:eastAsia="仿宋" w:cs="仿宋"/>
                <w:b w:val="0"/>
                <w:bCs w:val="0"/>
                <w:color w:val="000000"/>
                <w:sz w:val="21"/>
                <w:szCs w:val="21"/>
                <w:highlight w:val="none"/>
              </w:rPr>
              <w:t xml:space="preserve">基准</w:t>
            </w:r>
            <w:r>
              <w:rPr>
                <w:rFonts w:hint="eastAsia" w:ascii="仿宋" w:hAnsi="仿宋" w:eastAsia="仿宋" w:cs="仿宋"/>
                <w:b w:val="0"/>
                <w:bCs w:val="0"/>
                <w:color w:val="000000"/>
                <w:sz w:val="21"/>
                <w:szCs w:val="21"/>
                <w:highlight w:val="none"/>
                <w:lang w:val="en-US" w:eastAsia="zh-CN"/>
              </w:rPr>
              <w:t xml:space="preserve">优惠率</w:t>
            </w:r>
            <w:r>
              <w:rPr>
                <w:rFonts w:hint="eastAsia" w:ascii="仿宋" w:hAnsi="仿宋" w:eastAsia="仿宋" w:cs="仿宋"/>
                <w:b w:val="0"/>
                <w:bCs w:val="0"/>
                <w:color w:val="000000"/>
                <w:sz w:val="21"/>
                <w:szCs w:val="21"/>
                <w:highlight w:val="none"/>
              </w:rPr>
              <w:t xml:space="preserve">，其价格分为满分。其他供应商的价格分统一按照下列公式计算（小数点保留两位）：</w:t>
            </w:r>
            <w:r>
              <w:rPr>
                <w:rFonts w:hint="eastAsia" w:ascii="仿宋" w:hAnsi="仿宋" w:eastAsia="仿宋" w:cs="仿宋"/>
                <w:b w:val="0"/>
                <w:bCs w:val="0"/>
                <w:color w:val="000000"/>
                <w:sz w:val="21"/>
                <w:szCs w:val="21"/>
                <w:highlight w:val="none"/>
              </w:rPr>
            </w:r>
            <w:r/>
          </w:p>
          <w:p>
            <w:pPr>
              <w:pStyle w:val="1032"/>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投标报价得分=(投标</w:t>
            </w:r>
            <w:r>
              <w:rPr>
                <w:rFonts w:hint="eastAsia" w:ascii="仿宋" w:hAnsi="仿宋" w:eastAsia="仿宋" w:cs="仿宋"/>
                <w:b w:val="0"/>
                <w:bCs w:val="0"/>
                <w:color w:val="000000"/>
                <w:sz w:val="21"/>
                <w:szCs w:val="21"/>
                <w:highlight w:val="none"/>
                <w:lang w:val="en-US" w:eastAsia="zh-CN"/>
              </w:rPr>
              <w:t xml:space="preserve">优惠率</w:t>
            </w:r>
            <w:r>
              <w:rPr>
                <w:rFonts w:hint="eastAsia" w:ascii="仿宋" w:hAnsi="仿宋" w:eastAsia="仿宋" w:cs="仿宋"/>
                <w:b w:val="0"/>
                <w:bCs w:val="0"/>
                <w:color w:val="000000"/>
                <w:sz w:val="21"/>
                <w:szCs w:val="21"/>
                <w:highlight w:val="none"/>
              </w:rPr>
              <w:t xml:space="preserve">／</w:t>
            </w:r>
            <w:r>
              <w:rPr>
                <w:rFonts w:hint="eastAsia" w:ascii="仿宋" w:hAnsi="仿宋" w:eastAsia="仿宋" w:cs="仿宋"/>
                <w:b w:val="0"/>
                <w:bCs w:val="0"/>
                <w:color w:val="000000"/>
                <w:sz w:val="21"/>
                <w:szCs w:val="21"/>
                <w:highlight w:val="none"/>
                <w:lang w:val="en-US" w:eastAsia="zh-CN"/>
              </w:rPr>
              <w:t xml:space="preserve">评标</w:t>
            </w:r>
            <w:r>
              <w:rPr>
                <w:rFonts w:hint="eastAsia" w:ascii="仿宋" w:hAnsi="仿宋" w:eastAsia="仿宋" w:cs="仿宋"/>
                <w:b w:val="0"/>
                <w:bCs w:val="0"/>
                <w:color w:val="000000"/>
                <w:sz w:val="21"/>
                <w:szCs w:val="21"/>
                <w:highlight w:val="none"/>
              </w:rPr>
              <w:t xml:space="preserve">基准</w:t>
            </w:r>
            <w:r>
              <w:rPr>
                <w:rFonts w:hint="eastAsia" w:ascii="仿宋" w:hAnsi="仿宋" w:eastAsia="仿宋" w:cs="仿宋"/>
                <w:b w:val="0"/>
                <w:bCs w:val="0"/>
                <w:color w:val="000000"/>
                <w:sz w:val="21"/>
                <w:szCs w:val="21"/>
                <w:highlight w:val="none"/>
                <w:lang w:val="en-US" w:eastAsia="zh-CN"/>
              </w:rPr>
              <w:t xml:space="preserve">优惠率</w:t>
            </w:r>
            <w:r>
              <w:rPr>
                <w:rFonts w:hint="eastAsia" w:ascii="仿宋" w:hAnsi="仿宋" w:eastAsia="仿宋" w:cs="仿宋"/>
                <w:b w:val="0"/>
                <w:bCs w:val="0"/>
                <w:color w:val="000000"/>
                <w:sz w:val="21"/>
                <w:szCs w:val="21"/>
                <w:highlight w:val="none"/>
              </w:rPr>
              <w:t xml:space="preserve">)×</w:t>
            </w:r>
            <w:r>
              <w:rPr>
                <w:rFonts w:hint="eastAsia" w:ascii="仿宋" w:hAnsi="仿宋" w:eastAsia="仿宋" w:cs="仿宋"/>
                <w:b w:val="0"/>
                <w:bCs w:val="0"/>
                <w:color w:val="000000"/>
                <w:sz w:val="21"/>
                <w:szCs w:val="21"/>
                <w:highlight w:val="none"/>
                <w:lang w:val="en-US" w:eastAsia="zh-CN"/>
              </w:rPr>
              <w:t xml:space="preserve">10%</w:t>
            </w:r>
            <w:r>
              <w:rPr>
                <w:rFonts w:hint="eastAsia" w:ascii="仿宋" w:hAnsi="仿宋" w:eastAsia="仿宋" w:cs="仿宋"/>
                <w:b w:val="0"/>
                <w:bCs w:val="0"/>
                <w:color w:val="000000"/>
                <w:sz w:val="21"/>
                <w:szCs w:val="21"/>
                <w:highlight w:val="none"/>
              </w:rPr>
              <w:t xml:space="preserve">×100。</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831" w:type="dxa"/>
            <w:vAlign w:val="center"/>
            <w:textDirection w:val="lrTb"/>
            <w:noWrap w:val="false"/>
          </w:tcPr>
          <w:p>
            <w:pPr>
              <w:pStyle w:val="1032"/>
              <w:jc w:val="center"/>
              <w:rPr>
                <w:rFonts w:hint="eastAsia" w:ascii="仿宋" w:hAnsi="仿宋" w:eastAsia="仿宋" w:cs="仿宋"/>
                <w:b w:val="0"/>
                <w:bCs w:val="0"/>
                <w:color w:val="000000"/>
                <w:sz w:val="21"/>
                <w:szCs w:val="21"/>
                <w:highlight w:val="none"/>
              </w:rPr>
            </w:pPr>
            <w:r>
              <w:rPr>
                <w:rStyle w:val="1489"/>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rPr>
            </w:r>
            <w:r/>
          </w:p>
        </w:tc>
        <w:tc>
          <w:tcPr>
            <w:tcW w:w="636" w:type="dxa"/>
            <w:vAlign w:val="center"/>
            <w:textDirection w:val="lrTb"/>
            <w:noWrap w:val="false"/>
          </w:tcPr>
          <w:p>
            <w:pPr>
              <w:pStyle w:val="1032"/>
              <w:jc w:val="center"/>
              <w:rPr>
                <w:rFonts w:hint="eastAsia" w:ascii="仿宋" w:hAnsi="仿宋" w:eastAsia="仿宋" w:cs="仿宋"/>
                <w:b w:val="0"/>
                <w:bCs w:val="0"/>
                <w:color w:val="000000"/>
                <w:sz w:val="21"/>
                <w:szCs w:val="21"/>
                <w:highlight w:val="none"/>
              </w:rPr>
            </w:pPr>
            <w:r>
              <w:rPr>
                <w:rStyle w:val="1489"/>
                <w:rFonts w:hint="eastAsia" w:ascii="仿宋" w:hAnsi="仿宋" w:eastAsia="仿宋" w:cs="仿宋"/>
                <w:b w:val="0"/>
                <w:bCs w:val="0"/>
                <w:color w:val="000000"/>
                <w:sz w:val="21"/>
                <w:szCs w:val="21"/>
                <w:highlight w:val="none"/>
                <w:lang w:val="en-US" w:eastAsia="zh-CN"/>
              </w:rPr>
              <w:t xml:space="preserve">10</w:t>
            </w:r>
            <w:r>
              <w:rPr>
                <w:rFonts w:hint="eastAsia" w:ascii="仿宋" w:hAnsi="仿宋" w:eastAsia="仿宋" w:cs="仿宋"/>
                <w:b w:val="0"/>
                <w:bCs w:val="0"/>
                <w:color w:val="000000"/>
                <w:sz w:val="21"/>
                <w:szCs w:val="21"/>
                <w:highlight w:val="none"/>
              </w:rPr>
            </w:r>
            <w:r/>
          </w:p>
        </w:tc>
        <w:tc>
          <w:tcPr>
            <w:tcW w:w="765" w:type="dxa"/>
            <w:vAlign w:val="center"/>
            <w:textDirection w:val="lrTb"/>
            <w:noWrap w:val="false"/>
          </w:tcPr>
          <w:p>
            <w:pPr>
              <w:pStyle w:val="1032"/>
              <w:jc w:val="center"/>
              <w:rPr>
                <w:rFonts w:hint="eastAsia" w:ascii="仿宋" w:hAnsi="仿宋" w:eastAsia="仿宋" w:cs="仿宋"/>
                <w:b w:val="0"/>
                <w:bCs w:val="0"/>
                <w:color w:val="000000"/>
                <w:sz w:val="21"/>
                <w:szCs w:val="21"/>
                <w:highlight w:val="none"/>
              </w:rPr>
            </w:pPr>
            <w:r>
              <w:rPr>
                <w:rStyle w:val="1489"/>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61" w:type="dxa"/>
            <w:vAlign w:val="center"/>
            <w:textDirection w:val="lrTb"/>
            <w:noWrap w:val="false"/>
          </w:tcPr>
          <w:p>
            <w:pPr>
              <w:pStyle w:val="1032"/>
              <w:jc w:val="center"/>
              <w:rPr>
                <w:rFonts w:hint="eastAsia" w:ascii="仿宋" w:hAnsi="仿宋" w:eastAsia="仿宋" w:cs="仿宋"/>
                <w:b w:val="0"/>
                <w:bCs w:val="0"/>
                <w:color w:val="000000"/>
                <w:sz w:val="21"/>
                <w:szCs w:val="21"/>
                <w:highlight w:val="none"/>
              </w:rPr>
            </w:pPr>
            <w:r>
              <w:rPr>
                <w:rStyle w:val="1489"/>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w:t>
            </w:r>
            <w:r>
              <w:rPr>
                <w:rFonts w:hint="eastAsia" w:ascii="仿宋" w:hAnsi="仿宋" w:eastAsia="仿宋" w:cs="仿宋"/>
                <w:b w:val="0"/>
                <w:bCs w:val="0"/>
                <w:color w:val="000000"/>
                <w:sz w:val="21"/>
                <w:szCs w:val="21"/>
                <w:highlight w:val="none"/>
                <w:lang w:val="en-US" w:eastAsia="zh-CN"/>
              </w:rPr>
            </w:r>
            <w:r/>
          </w:p>
        </w:tc>
        <w:tc>
          <w:tcPr>
            <w:gridSpan w:val="2"/>
            <w:tcMar>
              <w:left w:w="108" w:type="dxa"/>
              <w:top w:w="0" w:type="dxa"/>
              <w:right w:w="108" w:type="dxa"/>
              <w:bottom w:w="0" w:type="dxa"/>
            </w:tcMar>
            <w:tcW w:w="5979" w:type="dxa"/>
            <w:vAlign w:val="center"/>
            <w:textDirection w:val="lrTb"/>
            <w:noWrap w:val="false"/>
          </w:tcPr>
          <w:p>
            <w:pPr>
              <w:pStyle w:val="1032"/>
              <w:ind w:left="0" w:firstLine="0"/>
              <w:jc w:val="left"/>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技术分（主观分）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55</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2.1</w:t>
            </w:r>
            <w:r>
              <w:rPr>
                <w:rFonts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整体服务方案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针对</w:t>
            </w:r>
            <w:r>
              <w:rPr>
                <w:rFonts w:hint="eastAsia" w:ascii="仿宋" w:hAnsi="仿宋" w:eastAsia="仿宋" w:cs="仿宋"/>
                <w:color w:val="000000"/>
                <w:szCs w:val="21"/>
                <w:highlight w:val="none"/>
                <w:lang w:val="en-US" w:eastAsia="zh-CN"/>
              </w:rPr>
              <w:t xml:space="preserve">社区卫生服务中心用餐</w:t>
            </w:r>
            <w:r>
              <w:rPr>
                <w:rFonts w:hint="eastAsia" w:ascii="仿宋" w:hAnsi="仿宋" w:eastAsia="仿宋" w:cs="仿宋"/>
                <w:color w:val="000000"/>
                <w:szCs w:val="21"/>
                <w:highlight w:val="none"/>
                <w:lang w:val="zh-CN"/>
              </w:rPr>
              <w:t xml:space="preserve">特点，</w:t>
            </w:r>
            <w:r>
              <w:rPr>
                <w:rFonts w:hint="eastAsia" w:ascii="仿宋" w:hAnsi="仿宋" w:eastAsia="仿宋" w:cs="仿宋"/>
                <w:color w:val="000000"/>
                <w:szCs w:val="21"/>
                <w:highlight w:val="none"/>
                <w:lang w:val="zh-CN" w:eastAsia="zh-CN"/>
              </w:rPr>
              <w:t xml:space="preserve">供应商</w:t>
            </w:r>
            <w:r>
              <w:rPr>
                <w:rFonts w:hint="eastAsia" w:ascii="仿宋" w:hAnsi="仿宋" w:eastAsia="仿宋" w:cs="仿宋"/>
                <w:color w:val="000000"/>
                <w:szCs w:val="21"/>
                <w:highlight w:val="none"/>
                <w:lang w:val="zh-CN"/>
              </w:rPr>
              <w:t xml:space="preserve">提供包含但不限于：</w:t>
            </w:r>
            <w:r>
              <w:rPr>
                <w:rFonts w:ascii="仿宋" w:hAnsi="仿宋" w:eastAsia="仿宋" w:cs="仿宋"/>
                <w:color w:val="000000"/>
                <w:szCs w:val="21"/>
                <w:highlight w:val="none"/>
                <w:lang w:val="zh-CN"/>
              </w:rPr>
              <w:t xml:space="preserve">①</w:t>
            </w:r>
            <w:r>
              <w:rPr>
                <w:rFonts w:hint="eastAsia" w:ascii="仿宋" w:hAnsi="仿宋" w:eastAsia="仿宋" w:cs="仿宋"/>
                <w:color w:val="000000"/>
                <w:szCs w:val="21"/>
                <w:highlight w:val="none"/>
                <w:lang w:val="zh-CN"/>
              </w:rPr>
              <w:t xml:space="preserve">经营计划；</w:t>
            </w:r>
            <w:r>
              <w:rPr>
                <w:rFonts w:ascii="仿宋" w:hAnsi="仿宋" w:eastAsia="仿宋" w:cs="仿宋"/>
                <w:color w:val="000000"/>
                <w:szCs w:val="21"/>
                <w:highlight w:val="none"/>
                <w:lang w:val="zh-CN"/>
              </w:rPr>
              <w:t xml:space="preserve">②</w:t>
            </w:r>
            <w:r>
              <w:rPr>
                <w:rFonts w:hint="eastAsia" w:ascii="仿宋" w:hAnsi="仿宋" w:eastAsia="仿宋" w:cs="仿宋"/>
                <w:color w:val="000000"/>
                <w:szCs w:val="21"/>
                <w:highlight w:val="none"/>
                <w:lang w:val="en-US" w:eastAsia="zh-CN"/>
              </w:rPr>
              <w:t xml:space="preserve">人员专业技能及</w:t>
            </w:r>
            <w:r>
              <w:rPr>
                <w:rFonts w:hint="eastAsia" w:ascii="仿宋" w:hAnsi="仿宋" w:eastAsia="仿宋" w:cs="仿宋"/>
                <w:color w:val="000000"/>
                <w:szCs w:val="21"/>
                <w:highlight w:val="none"/>
                <w:lang w:val="zh-CN"/>
              </w:rPr>
              <w:t xml:space="preserve">岗位职责；③管理制度；④工作流程</w:t>
            </w:r>
            <w:r>
              <w:rPr>
                <w:rFonts w:hint="eastAsia" w:ascii="仿宋" w:hAnsi="仿宋" w:eastAsia="仿宋" w:cs="仿宋"/>
                <w:color w:val="000000"/>
                <w:szCs w:val="21"/>
                <w:highlight w:val="none"/>
                <w:lang w:val="zh-CN" w:eastAsia="zh-CN"/>
              </w:rPr>
              <w:t xml:space="preserve">；⑤</w:t>
            </w:r>
            <w:r>
              <w:rPr>
                <w:rFonts w:hint="eastAsia" w:ascii="仿宋" w:hAnsi="仿宋" w:eastAsia="仿宋" w:cs="仿宋"/>
                <w:color w:val="000000"/>
                <w:szCs w:val="21"/>
                <w:highlight w:val="none"/>
                <w:lang w:val="en-US" w:eastAsia="zh-CN"/>
              </w:rPr>
              <w:t xml:space="preserve">人员培训；⑥台账档案；⑦设施设备维保；⑧沟通协调、整改</w:t>
            </w:r>
            <w:r>
              <w:rPr>
                <w:rFonts w:hint="eastAsia" w:ascii="仿宋" w:hAnsi="仿宋" w:eastAsia="仿宋" w:cs="仿宋"/>
                <w:color w:val="000000"/>
                <w:szCs w:val="21"/>
                <w:highlight w:val="none"/>
                <w:lang w:val="zh-CN"/>
              </w:rPr>
              <w:t xml:space="preserve">等整体服务</w:t>
            </w:r>
            <w:r>
              <w:rPr>
                <w:rFonts w:hint="eastAsia" w:ascii="仿宋" w:hAnsi="仿宋" w:eastAsia="仿宋" w:cs="仿宋"/>
                <w:color w:val="000000"/>
                <w:szCs w:val="21"/>
                <w:highlight w:val="none"/>
                <w:lang w:val="en-US" w:eastAsia="zh-CN"/>
              </w:rPr>
              <w:t xml:space="preserve">内容</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由评标委员会</w:t>
            </w:r>
            <w:r>
              <w:rPr>
                <w:rFonts w:hint="eastAsia" w:ascii="仿宋" w:hAnsi="仿宋" w:eastAsia="仿宋" w:cs="仿宋"/>
                <w:color w:val="000000"/>
                <w:szCs w:val="21"/>
                <w:highlight w:val="none"/>
                <w:lang w:val="zh-CN"/>
              </w:rPr>
              <w:t xml:space="preserve">进行综合</w:t>
            </w:r>
            <w:r>
              <w:rPr>
                <w:rFonts w:hint="eastAsia" w:ascii="仿宋" w:hAnsi="仿宋" w:eastAsia="仿宋" w:cs="仿宋"/>
                <w:color w:val="000000"/>
                <w:szCs w:val="21"/>
                <w:highlight w:val="none"/>
                <w:lang w:val="en-US" w:eastAsia="zh-CN"/>
              </w:rPr>
              <w:t xml:space="preserve">评审</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内容包含或多于上述全部且无遗漏</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各</w:t>
            </w:r>
            <w:r>
              <w:rPr>
                <w:rFonts w:hint="eastAsia" w:ascii="仿宋" w:hAnsi="仿宋" w:eastAsia="仿宋" w:cs="仿宋"/>
                <w:color w:val="000000"/>
                <w:szCs w:val="21"/>
                <w:highlight w:val="none"/>
                <w:lang w:val="zh-CN"/>
              </w:rPr>
              <w:t xml:space="preserve">方案</w:t>
            </w:r>
            <w:r>
              <w:rPr>
                <w:rFonts w:hint="eastAsia" w:ascii="仿宋" w:hAnsi="仿宋" w:eastAsia="仿宋" w:cs="仿宋"/>
                <w:color w:val="000000"/>
                <w:szCs w:val="21"/>
                <w:highlight w:val="none"/>
                <w:lang w:val="en-US" w:eastAsia="zh-CN"/>
              </w:rPr>
              <w:t xml:space="preserve">完全契合本项目食堂及用餐特点，</w:t>
            </w:r>
            <w:r>
              <w:rPr>
                <w:rFonts w:hint="eastAsia" w:ascii="仿宋" w:hAnsi="仿宋" w:eastAsia="仿宋" w:cs="仿宋"/>
                <w:color w:val="000000"/>
                <w:szCs w:val="21"/>
                <w:highlight w:val="none"/>
                <w:lang w:val="zh-CN"/>
              </w:rPr>
              <w:t xml:space="preserve">全面详实，</w:t>
            </w:r>
            <w:r>
              <w:rPr>
                <w:rFonts w:hint="eastAsia" w:ascii="仿宋" w:hAnsi="仿宋" w:eastAsia="仿宋" w:cs="仿宋"/>
                <w:color w:val="000000"/>
                <w:szCs w:val="21"/>
                <w:highlight w:val="none"/>
                <w:lang w:val="en-US" w:eastAsia="zh-CN"/>
              </w:rPr>
              <w:t xml:space="preserve">满足或优于采购需求、实操性强</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方案包含上述全部内容，涉及的每部分服务方案能结合本项目食堂及用餐特点提供针对性的阐述，满足采购需求、实际操作可行</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内容有3项以下缺漏，能满足采购需求，但未能结合本项目食堂及用餐特点提供针对性的方案得5分;</w:t>
            </w:r>
            <w:r>
              <w:rPr>
                <w:rFonts w:hint="eastAsia" w:ascii="仿宋" w:hAnsi="仿宋" w:eastAsia="仿宋" w:cs="仿宋"/>
                <w:color w:val="000000"/>
                <w:szCs w:val="21"/>
                <w:highlight w:val="none"/>
                <w:lang w:val="en-US" w:eastAsia="zh-CN"/>
              </w:rPr>
            </w:r>
            <w:r/>
          </w:p>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内容缺漏较多（大于3项）且未能结合本项目食堂及用餐特点提供针对性的方案的得4分;</w:t>
            </w:r>
            <w:r>
              <w:rPr>
                <w:rFonts w:hint="eastAsia" w:ascii="仿宋" w:hAnsi="仿宋" w:eastAsia="仿宋" w:cs="仿宋"/>
                <w:color w:val="000000"/>
                <w:szCs w:val="21"/>
                <w:highlight w:val="none"/>
                <w:lang w:val="en-US" w:eastAsia="zh-CN"/>
              </w:rPr>
            </w:r>
            <w:r/>
          </w:p>
          <w:p>
            <w:pPr>
              <w:pStyle w:val="1032"/>
              <w:spacing w:line="320" w:lineRule="exact"/>
              <w:shd w:val="clear" w:color="auto" w:fill="ffff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eastAsia="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23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2.2</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rPr>
            </w:pPr>
            <w:r>
              <w:rPr>
                <w:rFonts w:hint="eastAsia" w:ascii="仿宋" w:hAnsi="仿宋" w:eastAsia="仿宋" w:cs="仿宋"/>
                <w:color w:val="000000"/>
                <w:szCs w:val="21"/>
                <w:highlight w:val="none"/>
                <w:lang w:val="zh-CN" w:eastAsia="zh-CN"/>
              </w:rPr>
              <w:t xml:space="preserve">质量</w:t>
            </w:r>
            <w:r>
              <w:rPr>
                <w:rFonts w:hint="eastAsia" w:ascii="仿宋" w:hAnsi="仿宋" w:eastAsia="仿宋" w:cs="仿宋"/>
                <w:color w:val="000000"/>
                <w:szCs w:val="21"/>
                <w:highlight w:val="none"/>
                <w:lang w:val="en-US" w:eastAsia="zh-CN"/>
              </w:rPr>
              <w:t xml:space="preserve">及安全保障方案</w:t>
            </w:r>
            <w:r>
              <w:rPr>
                <w:rFonts w:ascii="仿宋" w:hAnsi="仿宋" w:eastAsia="仿宋" w:cs="仿宋"/>
                <w:b w:val="0"/>
                <w:bCs w:val="0"/>
                <w:color w:val="000000"/>
                <w:sz w:val="21"/>
                <w:szCs w:val="21"/>
                <w:highlight w:val="none"/>
                <w:lang w:val="en-US"/>
              </w:rPr>
            </w:r>
            <w:r/>
          </w:p>
        </w:tc>
        <w:tc>
          <w:tcPr>
            <w:tcMar>
              <w:left w:w="108" w:type="dxa"/>
              <w:top w:w="0" w:type="dxa"/>
              <w:right w:w="108" w:type="dxa"/>
              <w:bottom w:w="0" w:type="dxa"/>
            </w:tcMar>
            <w:tcW w:w="2537" w:type="dxa"/>
            <w:vAlign w:val="center"/>
            <w:textDirection w:val="lrTb"/>
            <w:noWrap w:val="false"/>
          </w:tcPr>
          <w:p>
            <w:pPr>
              <w:pStyle w:val="1032"/>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b w:val="0"/>
                <w:bCs w:val="0"/>
                <w:color w:val="000000"/>
                <w:sz w:val="21"/>
                <w:szCs w:val="21"/>
                <w:highlight w:val="none"/>
                <w:lang w:val="zh-CN" w:eastAsia="zh-CN"/>
              </w:rPr>
            </w:pPr>
            <w:r>
              <w:rPr>
                <w:rFonts w:hint="eastAsia" w:ascii="仿宋" w:hAnsi="仿宋" w:eastAsia="仿宋" w:cs="仿宋"/>
                <w:b w:val="0"/>
                <w:bCs w:val="0"/>
                <w:color w:val="000000"/>
                <w:sz w:val="21"/>
                <w:szCs w:val="21"/>
                <w:highlight w:val="none"/>
                <w:lang w:val="zh-CN" w:eastAsia="zh-CN"/>
              </w:rPr>
              <w:t xml:space="preserve">根据供应商提供的</w:t>
            </w:r>
            <w:r>
              <w:rPr>
                <w:rFonts w:ascii="仿宋" w:hAnsi="仿宋" w:eastAsia="仿宋" w:cs="仿宋"/>
                <w:b w:val="0"/>
                <w:bCs w:val="0"/>
                <w:color w:val="000000"/>
                <w:sz w:val="21"/>
                <w:szCs w:val="21"/>
                <w:highlight w:val="none"/>
                <w:lang w:val="zh-CN" w:eastAsia="zh-CN"/>
              </w:rPr>
              <w:t xml:space="preserve">①</w:t>
            </w:r>
            <w:r>
              <w:rPr>
                <w:rFonts w:hint="eastAsia" w:ascii="仿宋" w:hAnsi="仿宋" w:eastAsia="仿宋" w:cs="仿宋"/>
                <w:b w:val="0"/>
                <w:bCs w:val="0"/>
                <w:color w:val="000000"/>
                <w:sz w:val="21"/>
                <w:szCs w:val="21"/>
                <w:highlight w:val="none"/>
                <w:lang w:val="en-US" w:eastAsia="zh-CN"/>
              </w:rPr>
              <w:t xml:space="preserve">服务质量（包含但不限于人员的</w:t>
            </w:r>
            <w:r>
              <w:rPr>
                <w:rFonts w:hint="eastAsia" w:ascii="仿宋" w:hAnsi="仿宋" w:eastAsia="仿宋" w:cs="仿宋"/>
                <w:b w:val="0"/>
                <w:bCs w:val="0"/>
                <w:color w:val="000000"/>
                <w:sz w:val="21"/>
                <w:szCs w:val="21"/>
                <w:highlight w:val="none"/>
                <w:lang w:val="zh-CN" w:eastAsia="zh-CN"/>
              </w:rPr>
              <w:t xml:space="preserve">仪容仪表、服务</w:t>
            </w:r>
            <w:r>
              <w:rPr>
                <w:rFonts w:hint="eastAsia" w:ascii="仿宋" w:hAnsi="仿宋" w:eastAsia="仿宋" w:cs="仿宋"/>
                <w:b w:val="0"/>
                <w:bCs w:val="0"/>
                <w:color w:val="000000"/>
                <w:sz w:val="21"/>
                <w:szCs w:val="21"/>
                <w:highlight w:val="none"/>
                <w:lang w:val="en-US" w:eastAsia="zh-CN"/>
              </w:rPr>
              <w:t xml:space="preserve">态度、</w:t>
            </w:r>
            <w:r>
              <w:rPr>
                <w:rFonts w:hint="eastAsia" w:ascii="仿宋" w:hAnsi="仿宋" w:eastAsia="仿宋" w:cs="仿宋"/>
                <w:b w:val="0"/>
                <w:bCs w:val="0"/>
                <w:color w:val="000000"/>
                <w:sz w:val="21"/>
                <w:szCs w:val="21"/>
                <w:highlight w:val="none"/>
                <w:lang w:val="zh-CN" w:eastAsia="zh-CN"/>
              </w:rPr>
              <w:t xml:space="preserve">语言文明、服务技能、工作效率、</w:t>
            </w:r>
            <w:r>
              <w:rPr>
                <w:rFonts w:hint="eastAsia" w:ascii="仿宋" w:hAnsi="仿宋" w:eastAsia="仿宋" w:cs="仿宋"/>
                <w:b w:val="0"/>
                <w:bCs w:val="0"/>
                <w:color w:val="000000"/>
                <w:sz w:val="21"/>
                <w:szCs w:val="21"/>
                <w:highlight w:val="none"/>
                <w:lang w:val="en-US" w:eastAsia="zh-CN"/>
              </w:rPr>
              <w:t xml:space="preserve">供餐时间、沟通、协调等</w:t>
            </w:r>
            <w:r>
              <w:rPr>
                <w:rFonts w:hint="eastAsia" w:ascii="仿宋" w:hAnsi="仿宋" w:eastAsia="仿宋" w:cs="仿宋"/>
                <w:b w:val="0"/>
                <w:bCs w:val="0"/>
                <w:color w:val="000000"/>
                <w:sz w:val="21"/>
                <w:szCs w:val="21"/>
                <w:highlight w:val="none"/>
                <w:lang w:val="zh-CN" w:eastAsia="zh-CN"/>
              </w:rPr>
              <w:t xml:space="preserve">）；</w:t>
            </w:r>
            <w:r>
              <w:rPr>
                <w:rFonts w:ascii="仿宋" w:hAnsi="仿宋" w:eastAsia="仿宋" w:cs="仿宋"/>
                <w:b w:val="0"/>
                <w:bCs w:val="0"/>
                <w:color w:val="000000"/>
                <w:sz w:val="21"/>
                <w:szCs w:val="21"/>
                <w:highlight w:val="none"/>
                <w:lang w:val="zh-CN" w:eastAsia="zh-CN"/>
              </w:rPr>
              <w:t xml:space="preserve">②</w:t>
            </w:r>
            <w:r>
              <w:rPr>
                <w:rFonts w:hint="eastAsia" w:ascii="仿宋" w:hAnsi="仿宋" w:eastAsia="仿宋" w:cs="仿宋"/>
                <w:b w:val="0"/>
                <w:bCs w:val="0"/>
                <w:color w:val="000000"/>
                <w:sz w:val="21"/>
                <w:szCs w:val="21"/>
                <w:highlight w:val="none"/>
                <w:lang w:val="en-US" w:eastAsia="zh-CN"/>
              </w:rPr>
              <w:t xml:space="preserve">食品质量（包括但不限于</w:t>
            </w:r>
            <w:r>
              <w:rPr>
                <w:rFonts w:hint="eastAsia" w:ascii="仿宋" w:hAnsi="仿宋" w:eastAsia="仿宋" w:cs="仿宋"/>
                <w:b w:val="0"/>
                <w:bCs w:val="0"/>
                <w:color w:val="000000"/>
                <w:sz w:val="21"/>
                <w:szCs w:val="21"/>
                <w:highlight w:val="none"/>
                <w:lang w:val="zh-CN" w:eastAsia="zh-CN"/>
              </w:rPr>
              <w:t xml:space="preserve">菜品品种、食材质量、食品保存管理</w:t>
            </w:r>
            <w:r>
              <w:rPr>
                <w:rFonts w:hint="eastAsia" w:ascii="仿宋" w:hAnsi="仿宋" w:eastAsia="仿宋" w:cs="仿宋"/>
                <w:b w:val="0"/>
                <w:bCs w:val="0"/>
                <w:color w:val="000000"/>
                <w:sz w:val="21"/>
                <w:szCs w:val="21"/>
                <w:highlight w:val="none"/>
                <w:lang w:val="en-US" w:eastAsia="zh-CN"/>
              </w:rPr>
              <w:t xml:space="preserve">等）；</w:t>
            </w:r>
            <w:r>
              <w:rPr>
                <w:rFonts w:ascii="仿宋" w:hAnsi="仿宋" w:eastAsia="仿宋" w:cs="仿宋"/>
                <w:b w:val="0"/>
                <w:bCs w:val="0"/>
                <w:color w:val="000000"/>
                <w:sz w:val="21"/>
                <w:szCs w:val="21"/>
                <w:highlight w:val="none"/>
                <w:lang w:val="en-US" w:eastAsia="zh-CN"/>
              </w:rPr>
              <w:t xml:space="preserve">③</w:t>
            </w:r>
            <w:r>
              <w:rPr>
                <w:rFonts w:hint="eastAsia" w:ascii="仿宋" w:hAnsi="仿宋" w:eastAsia="仿宋" w:cs="仿宋"/>
                <w:b w:val="0"/>
                <w:bCs w:val="0"/>
                <w:color w:val="000000"/>
                <w:sz w:val="21"/>
                <w:szCs w:val="21"/>
                <w:highlight w:val="none"/>
                <w:lang w:val="en-US" w:eastAsia="zh-CN"/>
              </w:rPr>
              <w:t xml:space="preserve">食品留样等质量保障及④安全保障（包括但不限于烹饪操作、工作服务区域、消防、人员安全等）方案</w:t>
            </w:r>
            <w:r>
              <w:rPr>
                <w:rFonts w:hint="eastAsia" w:ascii="仿宋" w:hAnsi="仿宋" w:eastAsia="仿宋" w:cs="仿宋"/>
                <w:color w:val="000000"/>
                <w:szCs w:val="21"/>
                <w:highlight w:val="none"/>
                <w:lang w:val="en-US" w:eastAsia="zh-CN"/>
              </w:rPr>
              <w:t xml:space="preserve">⑤配合卫生、安全等合规性检查；⑥其他与本项目相关的</w:t>
            </w:r>
            <w:r>
              <w:rPr>
                <w:rFonts w:hint="eastAsia" w:ascii="仿宋" w:hAnsi="仿宋" w:eastAsia="仿宋" w:cs="仿宋"/>
                <w:color w:val="000000"/>
                <w:szCs w:val="21"/>
                <w:highlight w:val="none"/>
                <w:lang w:val="zh-CN" w:eastAsia="zh-CN"/>
              </w:rPr>
              <w:t xml:space="preserve">质量</w:t>
            </w:r>
            <w:r>
              <w:rPr>
                <w:rFonts w:hint="eastAsia" w:ascii="仿宋" w:hAnsi="仿宋" w:eastAsia="仿宋" w:cs="仿宋"/>
                <w:color w:val="000000"/>
                <w:szCs w:val="21"/>
                <w:highlight w:val="none"/>
                <w:lang w:val="en-US" w:eastAsia="zh-CN"/>
              </w:rPr>
              <w:t xml:space="preserve">及安全保障方案</w:t>
            </w:r>
            <w:r>
              <w:rPr>
                <w:rFonts w:hint="eastAsia" w:ascii="仿宋" w:hAnsi="仿宋" w:eastAsia="仿宋" w:cs="仿宋"/>
                <w:b w:val="0"/>
                <w:bCs w:val="0"/>
                <w:color w:val="000000"/>
                <w:sz w:val="21"/>
                <w:szCs w:val="21"/>
                <w:highlight w:val="none"/>
                <w:lang w:val="en-US" w:eastAsia="zh-CN"/>
              </w:rPr>
              <w:t xml:space="preserve">，由评标委员会</w:t>
            </w:r>
            <w:r>
              <w:rPr>
                <w:rFonts w:hint="eastAsia" w:ascii="仿宋" w:hAnsi="仿宋" w:eastAsia="仿宋" w:cs="仿宋"/>
                <w:b w:val="0"/>
                <w:bCs w:val="0"/>
                <w:color w:val="000000"/>
                <w:sz w:val="21"/>
                <w:szCs w:val="21"/>
                <w:highlight w:val="none"/>
                <w:lang w:val="zh-CN" w:eastAsia="zh-CN"/>
              </w:rPr>
              <w:t xml:space="preserve">进行综合</w:t>
            </w:r>
            <w:r>
              <w:rPr>
                <w:rFonts w:hint="eastAsia" w:ascii="仿宋" w:hAnsi="仿宋" w:eastAsia="仿宋" w:cs="仿宋"/>
                <w:b w:val="0"/>
                <w:bCs w:val="0"/>
                <w:color w:val="000000"/>
                <w:sz w:val="21"/>
                <w:szCs w:val="21"/>
                <w:highlight w:val="none"/>
                <w:lang w:val="en-US" w:eastAsia="zh-CN"/>
              </w:rPr>
              <w:t xml:space="preserve">评审</w:t>
            </w:r>
            <w:r>
              <w:rPr>
                <w:rFonts w:hint="eastAsia" w:ascii="仿宋" w:hAnsi="仿宋" w:eastAsia="仿宋" w:cs="仿宋"/>
                <w:b w:val="0"/>
                <w:bCs w:val="0"/>
                <w:color w:val="000000"/>
                <w:sz w:val="21"/>
                <w:szCs w:val="21"/>
                <w:highlight w:val="none"/>
                <w:lang w:val="zh-CN" w:eastAsia="zh-CN"/>
              </w:rPr>
              <w:t xml:space="preserve">：</w:t>
            </w:r>
            <w:r>
              <w:rPr>
                <w:rFonts w:hint="eastAsia" w:ascii="仿宋" w:hAnsi="仿宋" w:eastAsia="仿宋" w:cs="仿宋"/>
                <w:b w:val="0"/>
                <w:bCs w:val="0"/>
                <w:color w:val="000000"/>
                <w:sz w:val="21"/>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内容包含或多于上述全部且无遗漏</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各</w:t>
            </w:r>
            <w:r>
              <w:rPr>
                <w:rFonts w:hint="eastAsia" w:ascii="仿宋" w:hAnsi="仿宋" w:eastAsia="仿宋" w:cs="仿宋"/>
                <w:color w:val="000000"/>
                <w:szCs w:val="21"/>
                <w:highlight w:val="none"/>
                <w:lang w:val="zh-CN"/>
              </w:rPr>
              <w:t xml:space="preserve">方案</w:t>
            </w:r>
            <w:r>
              <w:rPr>
                <w:rFonts w:hint="eastAsia" w:ascii="仿宋" w:hAnsi="仿宋" w:eastAsia="仿宋" w:cs="仿宋"/>
                <w:color w:val="000000"/>
                <w:szCs w:val="21"/>
                <w:highlight w:val="none"/>
                <w:lang w:val="en-US" w:eastAsia="zh-CN"/>
              </w:rPr>
              <w:t xml:space="preserve">完全契合本项目食堂及用餐特点，</w:t>
            </w:r>
            <w:r>
              <w:rPr>
                <w:rFonts w:hint="eastAsia" w:ascii="仿宋" w:hAnsi="仿宋" w:eastAsia="仿宋" w:cs="仿宋"/>
                <w:color w:val="000000"/>
                <w:szCs w:val="21"/>
                <w:highlight w:val="none"/>
                <w:lang w:val="zh-CN"/>
              </w:rPr>
              <w:t xml:space="preserve">全面详实，</w:t>
            </w:r>
            <w:r>
              <w:rPr>
                <w:rFonts w:hint="eastAsia" w:ascii="仿宋" w:hAnsi="仿宋" w:eastAsia="仿宋" w:cs="仿宋"/>
                <w:color w:val="000000"/>
                <w:szCs w:val="21"/>
                <w:highlight w:val="none"/>
                <w:lang w:val="en-US" w:eastAsia="zh-CN"/>
              </w:rPr>
              <w:t xml:space="preserve">满足或优于采购需求、实操性强</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方案包含上述全部内容，涉及的每部分服务方案能结合本项目食堂及用餐特点提供针对性的阐述，满足采购需求、实际操作可行</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zh-CN" w:eastAsia="zh-CN"/>
              </w:rPr>
            </w:r>
            <w:r/>
          </w:p>
          <w:p>
            <w:pPr>
              <w:pStyle w:val="1032"/>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内容有3项以下缺漏，能满足采购需求，但未能结合本项目食堂及用餐特点提供针对性的方案得5分;</w:t>
            </w:r>
            <w:r>
              <w:rPr>
                <w:rFonts w:hint="eastAsia" w:ascii="仿宋" w:hAnsi="仿宋" w:eastAsia="仿宋" w:cs="仿宋"/>
                <w:color w:val="000000"/>
                <w:szCs w:val="21"/>
                <w:highlight w:val="none"/>
                <w:lang w:val="en-US" w:eastAsia="zh-CN"/>
              </w:rPr>
            </w:r>
            <w:r/>
          </w:p>
          <w:p>
            <w:pPr>
              <w:pStyle w:val="1032"/>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内容缺漏较多（大于3项）且未能结合本项目食堂及用餐特点提供针对性的方案的得4分;</w:t>
            </w:r>
            <w:r>
              <w:rPr>
                <w:rFonts w:hint="eastAsia" w:ascii="仿宋" w:hAnsi="仿宋" w:eastAsia="仿宋" w:cs="仿宋"/>
                <w:color w:val="000000"/>
                <w:szCs w:val="21"/>
                <w:highlight w:val="none"/>
                <w:lang w:val="en-US" w:eastAsia="zh-CN"/>
              </w:rPr>
            </w:r>
            <w:r/>
          </w:p>
          <w:p>
            <w:pPr>
              <w:pStyle w:val="1032"/>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eastAsia="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2.3</w:t>
            </w:r>
            <w:r>
              <w:rPr>
                <w:rFonts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卫生保障方案</w:t>
            </w:r>
            <w:r>
              <w:rPr>
                <w:rFonts w:hint="eastAsia" w:ascii="仿宋" w:hAnsi="仿宋" w:eastAsia="仿宋" w:cs="仿宋"/>
                <w:color w:val="000000"/>
                <w:szCs w:val="21"/>
                <w:highlight w:val="none"/>
                <w:lang w:val="en-US" w:eastAsia="zh-CN"/>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针对本项目实际需求，供应商提供</w:t>
            </w:r>
            <w:r>
              <w:rPr>
                <w:rFonts w:ascii="仿宋" w:hAnsi="仿宋" w:eastAsia="仿宋" w:cs="仿宋"/>
                <w:color w:val="000000"/>
                <w:szCs w:val="21"/>
                <w:highlight w:val="none"/>
                <w:lang w:val="en-US" w:eastAsia="zh-CN"/>
              </w:rPr>
              <w:t xml:space="preserve">①</w:t>
            </w:r>
            <w:r>
              <w:rPr>
                <w:rFonts w:hint="eastAsia" w:ascii="仿宋" w:hAnsi="仿宋" w:eastAsia="仿宋" w:cs="仿宋"/>
                <w:color w:val="000000"/>
                <w:szCs w:val="21"/>
                <w:highlight w:val="none"/>
                <w:lang w:val="zh-CN" w:eastAsia="zh-CN"/>
              </w:rPr>
              <w:t xml:space="preserve">环境卫生（</w:t>
            </w:r>
            <w:r>
              <w:rPr>
                <w:rFonts w:hint="eastAsia" w:ascii="仿宋" w:hAnsi="仿宋" w:eastAsia="仿宋" w:cs="仿宋"/>
                <w:color w:val="000000"/>
                <w:szCs w:val="21"/>
                <w:highlight w:val="none"/>
                <w:lang w:val="en-US" w:eastAsia="zh-CN"/>
              </w:rPr>
              <w:t xml:space="preserve">包含但不限于</w:t>
            </w:r>
            <w:r>
              <w:rPr>
                <w:rFonts w:hint="eastAsia" w:ascii="仿宋" w:hAnsi="仿宋" w:eastAsia="仿宋" w:cs="仿宋"/>
                <w:color w:val="000000"/>
                <w:szCs w:val="21"/>
                <w:highlight w:val="none"/>
                <w:lang w:val="zh-CN" w:eastAsia="zh-CN"/>
              </w:rPr>
              <w:t xml:space="preserve">食堂餐厅、厨房</w:t>
            </w:r>
            <w:r>
              <w:rPr>
                <w:rFonts w:hint="eastAsia" w:ascii="仿宋" w:hAnsi="仿宋" w:eastAsia="仿宋" w:cs="仿宋"/>
                <w:color w:val="000000"/>
                <w:szCs w:val="21"/>
                <w:highlight w:val="none"/>
                <w:lang w:val="en-US" w:eastAsia="zh-CN"/>
              </w:rPr>
              <w:t xml:space="preserve">、库房，餐厨废弃物卫生管理等）；</w:t>
            </w:r>
            <w:r>
              <w:rPr>
                <w:rFonts w:ascii="仿宋" w:hAnsi="仿宋" w:eastAsia="仿宋" w:cs="仿宋"/>
                <w:color w:val="000000"/>
                <w:szCs w:val="21"/>
                <w:highlight w:val="none"/>
                <w:lang w:val="en-US" w:eastAsia="zh-CN"/>
              </w:rPr>
              <w:t xml:space="preserve">②</w:t>
            </w:r>
            <w:r>
              <w:rPr>
                <w:rFonts w:hint="eastAsia" w:ascii="仿宋" w:hAnsi="仿宋" w:eastAsia="仿宋" w:cs="仿宋"/>
                <w:color w:val="000000"/>
                <w:szCs w:val="21"/>
                <w:highlight w:val="none"/>
                <w:lang w:val="en-US" w:eastAsia="zh-CN"/>
              </w:rPr>
              <w:t xml:space="preserve">厨具用具卫生（包含但不限于餐桌椅、餐具、厨具、相关设备等）；</w:t>
            </w:r>
            <w:r>
              <w:rPr>
                <w:rFonts w:ascii="仿宋" w:hAnsi="仿宋" w:eastAsia="仿宋" w:cs="仿宋"/>
                <w:color w:val="000000"/>
                <w:szCs w:val="21"/>
                <w:highlight w:val="none"/>
                <w:lang w:val="en-US" w:eastAsia="zh-CN"/>
              </w:rPr>
              <w:t xml:space="preserve">③</w:t>
            </w:r>
            <w:r>
              <w:rPr>
                <w:rFonts w:hint="eastAsia" w:ascii="仿宋" w:hAnsi="仿宋" w:eastAsia="仿宋" w:cs="仿宋"/>
                <w:color w:val="000000"/>
                <w:szCs w:val="21"/>
                <w:highlight w:val="none"/>
                <w:lang w:val="en-US" w:eastAsia="zh-CN"/>
              </w:rPr>
              <w:t xml:space="preserve">食材、菜品制作卫生；④员工身体健康及卫生⑤其他与本项目相关的卫生保障方案，由评标委员会</w:t>
            </w:r>
            <w:r>
              <w:rPr>
                <w:rFonts w:hint="eastAsia" w:ascii="仿宋" w:hAnsi="仿宋" w:eastAsia="仿宋" w:cs="仿宋"/>
                <w:color w:val="000000"/>
                <w:szCs w:val="21"/>
                <w:highlight w:val="none"/>
                <w:lang w:val="zh-CN" w:eastAsia="zh-CN"/>
              </w:rPr>
              <w:t xml:space="preserve">进行综合</w:t>
            </w:r>
            <w:r>
              <w:rPr>
                <w:rFonts w:hint="eastAsia" w:ascii="仿宋" w:hAnsi="仿宋" w:eastAsia="仿宋" w:cs="仿宋"/>
                <w:color w:val="000000"/>
                <w:szCs w:val="21"/>
                <w:highlight w:val="none"/>
                <w:lang w:val="en-US" w:eastAsia="zh-CN"/>
              </w:rPr>
              <w:t xml:space="preserve">评审：</w:t>
            </w:r>
            <w:r>
              <w:rPr>
                <w:rFonts w:hint="eastAsia" w:ascii="仿宋" w:hAnsi="仿宋" w:eastAsia="仿宋" w:cs="仿宋"/>
                <w:color w:val="000000"/>
                <w:szCs w:val="21"/>
                <w:highlight w:val="none"/>
                <w:lang w:val="en-US" w:eastAsia="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内容包含或多于上述全部且无遗漏</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en-US" w:eastAsia="zh-CN"/>
              </w:rPr>
              <w:t xml:space="preserve">各</w:t>
            </w:r>
            <w:r>
              <w:rPr>
                <w:rFonts w:hint="eastAsia" w:ascii="仿宋" w:hAnsi="仿宋" w:eastAsia="仿宋" w:cs="仿宋"/>
                <w:color w:val="000000"/>
                <w:szCs w:val="21"/>
                <w:highlight w:val="none"/>
                <w:lang w:val="zh-CN" w:eastAsia="zh-CN"/>
              </w:rPr>
              <w:t xml:space="preserve">方案</w:t>
            </w:r>
            <w:r>
              <w:rPr>
                <w:rFonts w:hint="eastAsia" w:ascii="仿宋" w:hAnsi="仿宋" w:eastAsia="仿宋" w:cs="仿宋"/>
                <w:color w:val="000000"/>
                <w:szCs w:val="21"/>
                <w:highlight w:val="none"/>
                <w:lang w:val="en-US" w:eastAsia="zh-CN"/>
              </w:rPr>
              <w:t xml:space="preserve">完全契合本项目食堂及用餐特点，</w:t>
            </w:r>
            <w:r>
              <w:rPr>
                <w:rFonts w:hint="eastAsia" w:ascii="仿宋" w:hAnsi="仿宋" w:eastAsia="仿宋" w:cs="仿宋"/>
                <w:color w:val="000000"/>
                <w:szCs w:val="21"/>
                <w:highlight w:val="none"/>
                <w:lang w:val="zh-CN" w:eastAsia="zh-CN"/>
              </w:rPr>
              <w:t xml:space="preserve">全面详实，</w:t>
            </w:r>
            <w:r>
              <w:rPr>
                <w:rFonts w:hint="eastAsia" w:ascii="仿宋" w:hAnsi="仿宋" w:eastAsia="仿宋" w:cs="仿宋"/>
                <w:color w:val="000000"/>
                <w:szCs w:val="21"/>
                <w:highlight w:val="none"/>
                <w:lang w:val="en-US" w:eastAsia="zh-CN"/>
              </w:rPr>
              <w:t xml:space="preserve">满足或优于采购需求、实操性强</w:t>
            </w:r>
            <w:r>
              <w:rPr>
                <w:rFonts w:hint="eastAsia" w:ascii="仿宋" w:hAnsi="仿宋" w:eastAsia="仿宋" w:cs="仿宋"/>
                <w:color w:val="000000"/>
                <w:szCs w:val="21"/>
                <w:highlight w:val="none"/>
                <w:lang w:val="zh-CN" w:eastAsia="zh-CN"/>
              </w:rPr>
              <w:t xml:space="preserve">的得</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val="zh-CN" w:eastAsia="zh-CN"/>
              </w:rPr>
              <w:t xml:space="preserve">分；</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方案包含上述全部内容，涉及的每部分服务方案能结合本项目食堂及用餐特点提供针对性的阐述，满足采购需求、实际操作可行</w:t>
            </w:r>
            <w:r>
              <w:rPr>
                <w:rFonts w:hint="eastAsia" w:ascii="仿宋" w:hAnsi="仿宋" w:eastAsia="仿宋" w:cs="仿宋"/>
                <w:color w:val="000000"/>
                <w:szCs w:val="21"/>
                <w:highlight w:val="none"/>
                <w:lang w:val="zh-CN" w:eastAsia="zh-CN"/>
              </w:rPr>
              <w:t xml:space="preserve">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eastAsia="zh-CN"/>
              </w:rPr>
              <w:t xml:space="preserve">分；</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内容有3项以下缺漏，能满足采购需求，但未能结合本项目食堂及用餐特点提供针对性的方案得5分;</w:t>
            </w:r>
            <w:r>
              <w:rPr>
                <w:rFonts w:hint="eastAsia" w:ascii="仿宋" w:hAnsi="仿宋" w:eastAsia="仿宋" w:cs="仿宋"/>
                <w:color w:val="000000"/>
                <w:szCs w:val="21"/>
                <w:highlight w:val="none"/>
                <w:lang w:val="en-US" w:eastAsia="zh-CN"/>
              </w:rPr>
            </w:r>
            <w:r/>
          </w:p>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内容缺漏较多（大于3项）且未能结合本项目食堂及用餐特点提供针对性的方案的得4分;</w:t>
            </w:r>
            <w:r>
              <w:rPr>
                <w:rFonts w:hint="eastAsia" w:ascii="仿宋" w:hAnsi="仿宋" w:eastAsia="仿宋" w:cs="仿宋"/>
                <w:color w:val="000000"/>
                <w:szCs w:val="21"/>
                <w:highlight w:val="none"/>
                <w:lang w:val="en-US" w:eastAsia="zh-CN"/>
              </w:rPr>
            </w:r>
            <w:r/>
          </w:p>
          <w:p>
            <w:pPr>
              <w:pStyle w:val="1032"/>
              <w:spacing w:line="320" w:lineRule="exact"/>
              <w:shd w:val="clear" w:color="auto" w:fill="ffffff"/>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zh-CN" w:eastAsia="zh-CN"/>
              </w:rPr>
              <w:t xml:space="preserve">未提供不得分。</w:t>
            </w:r>
            <w:r>
              <w:rPr>
                <w:rFonts w:ascii="仿宋" w:hAnsi="仿宋" w:eastAsia="仿宋" w:cs="仿宋"/>
                <w:color w:val="000000"/>
                <w:szCs w:val="21"/>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2.4</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en-US" w:eastAsia="zh-CN"/>
              </w:rPr>
              <w:t xml:space="preserve">供餐方案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根据</w:t>
            </w:r>
            <w:r>
              <w:rPr>
                <w:rFonts w:hint="eastAsia" w:ascii="仿宋" w:hAnsi="仿宋" w:eastAsia="仿宋" w:cs="仿宋"/>
                <w:color w:val="000000"/>
                <w:szCs w:val="21"/>
                <w:highlight w:val="none"/>
                <w:lang w:val="en-US" w:eastAsia="zh-CN"/>
              </w:rPr>
              <w:t xml:space="preserve">采购</w:t>
            </w:r>
            <w:r>
              <w:rPr>
                <w:rFonts w:hint="eastAsia" w:ascii="仿宋" w:hAnsi="仿宋" w:eastAsia="仿宋" w:cs="仿宋"/>
                <w:color w:val="000000"/>
                <w:szCs w:val="21"/>
                <w:highlight w:val="none"/>
                <w:lang w:val="zh-CN"/>
              </w:rPr>
              <w:t xml:space="preserve">文件</w:t>
            </w:r>
            <w:r>
              <w:rPr>
                <w:rFonts w:hint="eastAsia" w:ascii="仿宋" w:hAnsi="仿宋" w:eastAsia="仿宋" w:cs="仿宋"/>
                <w:color w:val="000000"/>
                <w:szCs w:val="21"/>
                <w:highlight w:val="none"/>
                <w:lang w:val="en-US" w:eastAsia="zh-CN"/>
              </w:rPr>
              <w:t xml:space="preserve">确定</w:t>
            </w:r>
            <w:r>
              <w:rPr>
                <w:rFonts w:hint="eastAsia" w:ascii="仿宋" w:hAnsi="仿宋" w:eastAsia="仿宋" w:cs="仿宋"/>
                <w:color w:val="000000"/>
                <w:szCs w:val="21"/>
                <w:highlight w:val="none"/>
                <w:lang w:val="zh-CN"/>
              </w:rPr>
              <w:t xml:space="preserve">的餐标拟定</w:t>
            </w:r>
            <w:r>
              <w:rPr>
                <w:rFonts w:hint="eastAsia" w:ascii="仿宋" w:hAnsi="仿宋" w:eastAsia="仿宋" w:cs="仿宋"/>
                <w:color w:val="000000"/>
                <w:szCs w:val="21"/>
                <w:highlight w:val="none"/>
                <w:lang w:val="en-US" w:eastAsia="zh-CN"/>
              </w:rPr>
              <w:t xml:space="preserve">开标期间（5-6月份）当季</w:t>
            </w:r>
            <w:r>
              <w:rPr>
                <w:rFonts w:hint="eastAsia" w:ascii="仿宋" w:hAnsi="仿宋" w:eastAsia="仿宋" w:cs="仿宋"/>
                <w:color w:val="000000"/>
                <w:szCs w:val="21"/>
                <w:highlight w:val="none"/>
                <w:lang w:val="zh-CN"/>
              </w:rPr>
              <w:t xml:space="preserve">职工一周菜谱：提供早餐、午餐、晚餐的大致种类、菜品搭配设计，</w:t>
            </w:r>
            <w:r>
              <w:rPr>
                <w:rFonts w:hint="eastAsia" w:ascii="仿宋" w:hAnsi="仿宋" w:eastAsia="仿宋" w:cs="仿宋"/>
                <w:color w:val="000000"/>
                <w:szCs w:val="21"/>
                <w:highlight w:val="none"/>
                <w:lang w:val="en-US" w:eastAsia="zh-CN"/>
              </w:rPr>
              <w:t xml:space="preserve">从菜谱的</w:t>
            </w:r>
            <w:r>
              <w:rPr>
                <w:rFonts w:hint="eastAsia" w:ascii="仿宋" w:hAnsi="仿宋" w:eastAsia="仿宋" w:cs="仿宋"/>
                <w:color w:val="000000"/>
                <w:szCs w:val="21"/>
                <w:highlight w:val="none"/>
                <w:lang w:val="zh-CN"/>
              </w:rPr>
              <w:t xml:space="preserve">营养合理、品种多样、荤素搭配、</w:t>
            </w:r>
            <w:r>
              <w:rPr>
                <w:rFonts w:hint="eastAsia" w:ascii="仿宋" w:hAnsi="仿宋" w:eastAsia="仿宋" w:cs="仿宋"/>
                <w:color w:val="000000"/>
                <w:szCs w:val="21"/>
                <w:highlight w:val="none"/>
                <w:lang w:val="en-US" w:eastAsia="zh-CN"/>
              </w:rPr>
              <w:t xml:space="preserve">性价比等方面由评标委员会</w:t>
            </w:r>
            <w:r>
              <w:rPr>
                <w:rFonts w:hint="eastAsia" w:ascii="仿宋" w:hAnsi="仿宋" w:eastAsia="仿宋" w:cs="仿宋"/>
                <w:color w:val="000000"/>
                <w:szCs w:val="21"/>
                <w:highlight w:val="none"/>
                <w:lang w:val="zh-CN"/>
              </w:rPr>
              <w:t xml:space="preserve">进行综合</w:t>
            </w:r>
            <w:r>
              <w:rPr>
                <w:rFonts w:hint="eastAsia" w:ascii="仿宋" w:hAnsi="仿宋" w:eastAsia="仿宋" w:cs="仿宋"/>
                <w:color w:val="000000"/>
                <w:szCs w:val="21"/>
                <w:highlight w:val="none"/>
                <w:lang w:val="en-US" w:eastAsia="zh-CN"/>
              </w:rPr>
              <w:t xml:space="preserve">评审</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en-US" w:eastAsia="zh-CN"/>
              </w:rPr>
              <w:t xml:space="preserve">菜谱</w:t>
            </w:r>
            <w:r>
              <w:rPr>
                <w:rFonts w:hint="eastAsia" w:ascii="仿宋" w:hAnsi="仿宋" w:eastAsia="仿宋" w:cs="仿宋"/>
                <w:color w:val="000000"/>
                <w:szCs w:val="21"/>
                <w:highlight w:val="none"/>
                <w:lang w:val="zh-CN"/>
              </w:rPr>
              <w:t xml:space="preserve">营养合理、品种多样、荤素搭配、</w:t>
            </w:r>
            <w:r>
              <w:rPr>
                <w:rFonts w:hint="eastAsia" w:ascii="仿宋" w:hAnsi="仿宋" w:eastAsia="仿宋" w:cs="仿宋"/>
                <w:color w:val="000000"/>
                <w:szCs w:val="21"/>
                <w:highlight w:val="none"/>
                <w:lang w:val="en-US" w:eastAsia="zh-CN"/>
              </w:rPr>
              <w:t xml:space="preserve">性价比高，充分考虑社区卫生服务中心实际用餐需求，满足或优于采购需求</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en-US" w:eastAsia="zh-CN"/>
              </w:rPr>
              <w:t xml:space="preserve">菜谱内容、</w:t>
            </w:r>
            <w:r>
              <w:rPr>
                <w:rFonts w:hint="eastAsia" w:ascii="仿宋" w:hAnsi="仿宋" w:eastAsia="仿宋" w:cs="仿宋"/>
                <w:color w:val="000000"/>
                <w:szCs w:val="21"/>
                <w:highlight w:val="none"/>
                <w:lang w:val="zh-CN"/>
              </w:rPr>
              <w:t xml:space="preserve">品种、荤素搭配、</w:t>
            </w:r>
            <w:r>
              <w:rPr>
                <w:rFonts w:hint="eastAsia" w:ascii="仿宋" w:hAnsi="仿宋" w:eastAsia="仿宋" w:cs="仿宋"/>
                <w:color w:val="000000"/>
                <w:szCs w:val="21"/>
                <w:highlight w:val="none"/>
                <w:lang w:val="en-US" w:eastAsia="zh-CN"/>
              </w:rPr>
              <w:t xml:space="preserve">价格、营养等方面与采购需求匹配</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en-US" w:eastAsia="zh-CN"/>
              </w:rPr>
              <w:t xml:space="preserve">菜谱内容不完整、</w:t>
            </w:r>
            <w:r>
              <w:rPr>
                <w:rFonts w:hint="eastAsia" w:ascii="仿宋" w:hAnsi="仿宋" w:eastAsia="仿宋" w:cs="仿宋"/>
                <w:color w:val="000000"/>
                <w:szCs w:val="21"/>
                <w:highlight w:val="none"/>
                <w:lang w:val="zh-CN"/>
              </w:rPr>
              <w:t xml:space="preserve">品种、荤素搭配、</w:t>
            </w:r>
            <w:r>
              <w:rPr>
                <w:rFonts w:hint="eastAsia" w:ascii="仿宋" w:hAnsi="仿宋" w:eastAsia="仿宋" w:cs="仿宋"/>
                <w:color w:val="000000"/>
                <w:szCs w:val="21"/>
                <w:highlight w:val="none"/>
                <w:lang w:val="en-US" w:eastAsia="zh-CN"/>
              </w:rPr>
              <w:t xml:space="preserve">价格、营养等方面</w:t>
            </w:r>
            <w:r>
              <w:rPr>
                <w:rFonts w:hint="eastAsia" w:ascii="仿宋" w:hAnsi="仿宋" w:eastAsia="仿宋" w:cs="仿宋"/>
                <w:color w:val="000000"/>
                <w:szCs w:val="21"/>
                <w:highlight w:val="none"/>
                <w:lang w:val="zh-CN"/>
              </w:rPr>
              <w:t xml:space="preserve">欠缺的得</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en-US" w:eastAsia="zh-CN"/>
              </w:rPr>
              <w:t xml:space="preserve">菜谱内容、</w:t>
            </w:r>
            <w:r>
              <w:rPr>
                <w:rFonts w:hint="eastAsia" w:ascii="仿宋" w:hAnsi="仿宋" w:eastAsia="仿宋" w:cs="仿宋"/>
                <w:color w:val="000000"/>
                <w:szCs w:val="21"/>
                <w:highlight w:val="none"/>
                <w:lang w:val="zh-CN"/>
              </w:rPr>
              <w:t xml:space="preserve">品种、荤素搭配、</w:t>
            </w:r>
            <w:r>
              <w:rPr>
                <w:rFonts w:hint="eastAsia" w:ascii="仿宋" w:hAnsi="仿宋" w:eastAsia="仿宋" w:cs="仿宋"/>
                <w:color w:val="000000"/>
                <w:szCs w:val="21"/>
                <w:highlight w:val="none"/>
                <w:lang w:val="en-US" w:eastAsia="zh-CN"/>
              </w:rPr>
              <w:t xml:space="preserve">价格、营养未能结合社区卫生服务中心实际用餐需求拟定</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032"/>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2.5</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jc w:val="center"/>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食品原</w:t>
            </w:r>
            <w:r>
              <w:rPr>
                <w:rFonts w:hint="eastAsia" w:ascii="仿宋" w:hAnsi="仿宋" w:eastAsia="仿宋" w:cs="仿宋"/>
                <w:color w:val="000000"/>
                <w:szCs w:val="21"/>
                <w:highlight w:val="none"/>
                <w:lang w:val="zh-CN"/>
              </w:rPr>
            </w:r>
            <w:r/>
          </w:p>
          <w:p>
            <w:pPr>
              <w:pStyle w:val="1032"/>
              <w:jc w:val="center"/>
              <w:spacing w:line="320" w:lineRule="exact"/>
              <w:shd w:val="clear" w:color="auto" w:fill="ffff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rPr>
              <w:t xml:space="preserve">材料采购管理方案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针对本项目特点，</w:t>
            </w:r>
            <w:r>
              <w:rPr>
                <w:rFonts w:hint="eastAsia" w:ascii="仿宋" w:hAnsi="仿宋" w:eastAsia="仿宋" w:cs="仿宋"/>
                <w:color w:val="000000"/>
                <w:szCs w:val="21"/>
                <w:highlight w:val="none"/>
                <w:lang w:val="en-US" w:eastAsia="zh-CN"/>
              </w:rPr>
              <w:t xml:space="preserve">供应商</w:t>
            </w:r>
            <w:r>
              <w:rPr>
                <w:rFonts w:hint="eastAsia" w:ascii="仿宋" w:hAnsi="仿宋" w:eastAsia="仿宋" w:cs="仿宋"/>
                <w:color w:val="000000"/>
                <w:szCs w:val="21"/>
                <w:highlight w:val="none"/>
                <w:lang w:val="zh-CN"/>
              </w:rPr>
              <w:t xml:space="preserve">提供食材采购（包含但不仅限于：食品原材料、</w:t>
            </w:r>
            <w:r>
              <w:rPr>
                <w:rFonts w:hint="eastAsia" w:ascii="仿宋" w:hAnsi="仿宋" w:eastAsia="仿宋" w:cs="仿宋"/>
                <w:color w:val="000000"/>
                <w:szCs w:val="21"/>
                <w:highlight w:val="none"/>
                <w:lang w:val="en-US" w:eastAsia="zh-CN"/>
              </w:rPr>
              <w:t xml:space="preserve">调味品等的</w:t>
            </w:r>
            <w:r>
              <w:rPr>
                <w:rFonts w:hint="eastAsia" w:ascii="仿宋" w:hAnsi="仿宋" w:eastAsia="仿宋" w:cs="仿宋"/>
                <w:color w:val="000000"/>
                <w:szCs w:val="21"/>
                <w:highlight w:val="none"/>
                <w:lang w:val="zh-CN"/>
              </w:rPr>
              <w:t xml:space="preserve">采购</w:t>
            </w:r>
            <w:r>
              <w:rPr>
                <w:rFonts w:hint="eastAsia" w:ascii="仿宋" w:hAnsi="仿宋" w:eastAsia="仿宋" w:cs="仿宋"/>
                <w:color w:val="000000"/>
                <w:szCs w:val="21"/>
                <w:highlight w:val="none"/>
                <w:lang w:val="zh-CN" w:eastAsia="zh-CN"/>
              </w:rPr>
              <w:t xml:space="preserve">、运输车辆、</w:t>
            </w:r>
            <w:r>
              <w:rPr>
                <w:rFonts w:hint="eastAsia" w:ascii="仿宋" w:hAnsi="仿宋" w:eastAsia="仿宋" w:cs="仿宋"/>
                <w:color w:val="000000"/>
                <w:szCs w:val="21"/>
                <w:highlight w:val="none"/>
                <w:lang w:val="en-US" w:eastAsia="zh-CN"/>
              </w:rPr>
              <w:t xml:space="preserve">时效性、可朔源、检验检测、</w:t>
            </w:r>
            <w:r>
              <w:rPr>
                <w:rFonts w:hint="eastAsia" w:ascii="仿宋" w:hAnsi="仿宋" w:eastAsia="仿宋" w:cs="仿宋"/>
                <w:color w:val="000000"/>
                <w:szCs w:val="21"/>
                <w:highlight w:val="none"/>
                <w:lang w:val="zh-CN" w:eastAsia="zh-CN"/>
              </w:rPr>
              <w:t xml:space="preserve">食品验收</w:t>
            </w:r>
            <w:r>
              <w:rPr>
                <w:rFonts w:hint="eastAsia" w:ascii="仿宋" w:hAnsi="仿宋" w:eastAsia="仿宋" w:cs="仿宋"/>
                <w:color w:val="000000"/>
                <w:szCs w:val="21"/>
                <w:highlight w:val="none"/>
                <w:lang w:val="zh-CN"/>
              </w:rPr>
              <w:t xml:space="preserve">等）；食品安全</w:t>
            </w:r>
            <w:r>
              <w:rPr>
                <w:rFonts w:hint="eastAsia" w:ascii="仿宋" w:hAnsi="仿宋" w:eastAsia="仿宋" w:cs="仿宋"/>
                <w:color w:val="000000"/>
                <w:szCs w:val="21"/>
                <w:highlight w:val="none"/>
                <w:lang w:val="en-US" w:eastAsia="zh-CN"/>
              </w:rPr>
              <w:t xml:space="preserve">等</w:t>
            </w:r>
            <w:r>
              <w:rPr>
                <w:rFonts w:hint="eastAsia" w:ascii="仿宋" w:hAnsi="仿宋" w:eastAsia="仿宋" w:cs="仿宋"/>
                <w:color w:val="000000"/>
                <w:szCs w:val="21"/>
                <w:highlight w:val="none"/>
                <w:lang w:val="zh-CN"/>
              </w:rPr>
              <w:t xml:space="preserve">方案，</w:t>
            </w:r>
            <w:r>
              <w:rPr>
                <w:rFonts w:hint="eastAsia" w:ascii="仿宋" w:hAnsi="仿宋" w:eastAsia="仿宋" w:cs="仿宋"/>
                <w:color w:val="000000"/>
                <w:szCs w:val="21"/>
                <w:highlight w:val="none"/>
                <w:lang w:val="en-US" w:eastAsia="zh-CN"/>
              </w:rPr>
              <w:t xml:space="preserve">由评标委员会</w:t>
            </w:r>
            <w:r>
              <w:rPr>
                <w:rFonts w:hint="eastAsia" w:ascii="仿宋" w:hAnsi="仿宋" w:eastAsia="仿宋" w:cs="仿宋"/>
                <w:color w:val="000000"/>
                <w:szCs w:val="21"/>
                <w:highlight w:val="none"/>
                <w:lang w:val="zh-CN"/>
              </w:rPr>
              <w:t xml:space="preserve">进行综合</w:t>
            </w:r>
            <w:r>
              <w:rPr>
                <w:rFonts w:hint="eastAsia" w:ascii="仿宋" w:hAnsi="仿宋" w:eastAsia="仿宋" w:cs="仿宋"/>
                <w:color w:val="000000"/>
                <w:szCs w:val="21"/>
                <w:highlight w:val="none"/>
                <w:lang w:val="en-US" w:eastAsia="zh-CN"/>
              </w:rPr>
              <w:t xml:space="preserve">评审</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内容包含或多于上述全部且无遗漏</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各</w:t>
            </w:r>
            <w:r>
              <w:rPr>
                <w:rFonts w:hint="eastAsia" w:ascii="仿宋" w:hAnsi="仿宋" w:eastAsia="仿宋" w:cs="仿宋"/>
                <w:color w:val="000000"/>
                <w:szCs w:val="21"/>
                <w:highlight w:val="none"/>
                <w:lang w:val="zh-CN"/>
              </w:rPr>
              <w:t xml:space="preserve">方案</w:t>
            </w:r>
            <w:r>
              <w:rPr>
                <w:rFonts w:hint="eastAsia" w:ascii="仿宋" w:hAnsi="仿宋" w:eastAsia="仿宋" w:cs="仿宋"/>
                <w:color w:val="000000"/>
                <w:szCs w:val="21"/>
                <w:highlight w:val="none"/>
                <w:lang w:val="en-US" w:eastAsia="zh-CN"/>
              </w:rPr>
              <w:t xml:space="preserve">完全契合本项目食堂及用餐特点，</w:t>
            </w:r>
            <w:r>
              <w:rPr>
                <w:rFonts w:hint="eastAsia" w:ascii="仿宋" w:hAnsi="仿宋" w:eastAsia="仿宋" w:cs="仿宋"/>
                <w:color w:val="000000"/>
                <w:szCs w:val="21"/>
                <w:highlight w:val="none"/>
                <w:lang w:val="zh-CN"/>
              </w:rPr>
              <w:t xml:space="preserve">全面详实，</w:t>
            </w:r>
            <w:r>
              <w:rPr>
                <w:rFonts w:hint="eastAsia" w:ascii="仿宋" w:hAnsi="仿宋" w:eastAsia="仿宋" w:cs="仿宋"/>
                <w:color w:val="000000"/>
                <w:szCs w:val="21"/>
                <w:highlight w:val="none"/>
                <w:lang w:val="en-US" w:eastAsia="zh-CN"/>
              </w:rPr>
              <w:t xml:space="preserve">满足或优于采购需求、实操性强</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方案包含上述全部内容，涉及的每部分服务方案能结合本项目食堂及用餐特点提供针对性的阐述，满足采购需求、实际操作可行</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内容有3项以下缺漏，能满足采购需求，但未能结合本项目食堂及用餐特点提供针对性的方案得5分;</w:t>
            </w:r>
            <w:r>
              <w:rPr>
                <w:rFonts w:hint="eastAsia" w:ascii="仿宋" w:hAnsi="仿宋" w:eastAsia="仿宋" w:cs="仿宋"/>
                <w:color w:val="000000"/>
                <w:szCs w:val="21"/>
                <w:highlight w:val="none"/>
                <w:lang w:val="en-US" w:eastAsia="zh-CN"/>
              </w:rPr>
            </w:r>
            <w:r/>
          </w:p>
          <w:p>
            <w:pPr>
              <w:pStyle w:val="1032"/>
              <w:spacing w:line="320" w:lineRule="exact"/>
              <w:shd w:val="clear" w:color="auto" w:fill="ffffff"/>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内容缺漏较多（大于3项）且未能结合本项目食堂及用餐特点提供针对性的方案的得4分;</w:t>
            </w:r>
            <w:r>
              <w:rPr>
                <w:rFonts w:ascii="仿宋" w:hAnsi="仿宋" w:eastAsia="仿宋" w:cs="仿宋"/>
                <w:color w:val="000000"/>
                <w:szCs w:val="21"/>
                <w:highlight w:val="none"/>
                <w:lang w:val="en-US" w:eastAsia="zh-CN"/>
              </w:rPr>
            </w:r>
            <w:r/>
          </w:p>
          <w:p>
            <w:pPr>
              <w:pStyle w:val="1032"/>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eastAsia="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2.6</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应急预案和投诉处理方案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针对</w:t>
            </w:r>
            <w:r>
              <w:rPr>
                <w:rFonts w:hint="eastAsia" w:ascii="仿宋" w:hAnsi="仿宋" w:eastAsia="仿宋" w:cs="仿宋"/>
                <w:color w:val="000000"/>
                <w:szCs w:val="21"/>
                <w:highlight w:val="none"/>
                <w:lang w:val="en-US" w:eastAsia="zh-CN"/>
              </w:rPr>
              <w:t xml:space="preserve">社区卫生服务中心用餐</w:t>
            </w:r>
            <w:r>
              <w:rPr>
                <w:rFonts w:hint="eastAsia" w:ascii="仿宋" w:hAnsi="仿宋" w:eastAsia="仿宋" w:cs="仿宋"/>
                <w:color w:val="000000"/>
                <w:szCs w:val="21"/>
                <w:highlight w:val="none"/>
                <w:lang w:val="zh-CN"/>
              </w:rPr>
              <w:t xml:space="preserve">特点</w:t>
            </w:r>
            <w:r>
              <w:rPr>
                <w:rFonts w:hint="eastAsia" w:ascii="仿宋" w:hAnsi="仿宋" w:eastAsia="仿宋" w:cs="仿宋"/>
                <w:color w:val="000000"/>
                <w:szCs w:val="21"/>
                <w:highlight w:val="none"/>
                <w:lang w:val="en-US" w:eastAsia="zh-CN"/>
              </w:rPr>
              <w:t xml:space="preserve">及就餐人员的特殊性，预判在服务期间可能遇到的突发状况或紧急情形</w:t>
            </w:r>
            <w:r>
              <w:rPr>
                <w:rFonts w:hint="eastAsia" w:ascii="仿宋" w:hAnsi="仿宋" w:eastAsia="仿宋" w:cs="仿宋"/>
                <w:color w:val="000000"/>
                <w:szCs w:val="21"/>
                <w:highlight w:val="none"/>
                <w:lang w:val="zh-CN"/>
              </w:rPr>
              <w:t xml:space="preserve">(包括但不限于</w:t>
            </w:r>
            <w:r>
              <w:rPr>
                <w:rFonts w:hint="eastAsia" w:ascii="仿宋" w:hAnsi="仿宋" w:eastAsia="仿宋" w:cs="仿宋"/>
                <w:color w:val="000000"/>
                <w:szCs w:val="21"/>
                <w:highlight w:val="none"/>
                <w:lang w:val="en-US" w:eastAsia="zh-CN"/>
              </w:rPr>
              <w:t xml:space="preserve">突发事件或紧急情形</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zh-CN"/>
              </w:rPr>
              <w:t xml:space="preserve">食品和消防安全、生产安全、设备设施故障、人员更替等) </w:t>
            </w:r>
            <w:r>
              <w:rPr>
                <w:rFonts w:hint="eastAsia" w:ascii="仿宋" w:hAnsi="仿宋" w:eastAsia="仿宋" w:cs="仿宋"/>
                <w:color w:val="000000"/>
                <w:szCs w:val="21"/>
                <w:highlight w:val="none"/>
                <w:lang w:val="en-US" w:eastAsia="zh-CN"/>
              </w:rPr>
              <w:t xml:space="preserve">，并给出针对性的</w:t>
            </w:r>
            <w:r>
              <w:rPr>
                <w:rFonts w:hint="eastAsia" w:ascii="仿宋" w:hAnsi="仿宋" w:eastAsia="仿宋" w:cs="仿宋"/>
                <w:color w:val="000000"/>
                <w:szCs w:val="21"/>
                <w:highlight w:val="none"/>
                <w:lang w:val="zh-CN"/>
              </w:rPr>
              <w:t xml:space="preserve">应急预案；</w:t>
            </w:r>
            <w:r>
              <w:rPr>
                <w:rFonts w:hint="eastAsia" w:ascii="仿宋" w:hAnsi="仿宋" w:eastAsia="仿宋" w:cs="仿宋"/>
                <w:color w:val="000000"/>
                <w:szCs w:val="21"/>
                <w:highlight w:val="none"/>
                <w:lang w:val="en-US" w:eastAsia="zh-CN"/>
              </w:rPr>
              <w:t xml:space="preserve">各种情形的</w:t>
            </w:r>
            <w:r>
              <w:rPr>
                <w:rFonts w:hint="eastAsia" w:ascii="仿宋" w:hAnsi="仿宋" w:eastAsia="仿宋" w:cs="仿宋"/>
                <w:color w:val="000000"/>
                <w:szCs w:val="21"/>
                <w:highlight w:val="none"/>
                <w:lang w:val="zh-CN"/>
              </w:rPr>
              <w:t xml:space="preserve">投诉</w:t>
            </w:r>
            <w:r>
              <w:rPr>
                <w:rFonts w:hint="eastAsia" w:ascii="仿宋" w:hAnsi="仿宋" w:eastAsia="仿宋" w:cs="仿宋"/>
                <w:color w:val="000000"/>
                <w:szCs w:val="21"/>
                <w:highlight w:val="none"/>
                <w:lang w:val="en-US" w:eastAsia="zh-CN"/>
              </w:rPr>
              <w:t xml:space="preserve">及</w:t>
            </w:r>
            <w:r>
              <w:rPr>
                <w:rFonts w:hint="eastAsia" w:ascii="仿宋" w:hAnsi="仿宋" w:eastAsia="仿宋" w:cs="仿宋"/>
                <w:color w:val="000000"/>
                <w:szCs w:val="21"/>
                <w:highlight w:val="none"/>
                <w:lang w:val="zh-CN"/>
              </w:rPr>
              <w:t xml:space="preserve">处理方案</w:t>
            </w:r>
            <w:r>
              <w:rPr>
                <w:rFonts w:hint="eastAsia" w:ascii="仿宋" w:hAnsi="仿宋" w:eastAsia="仿宋" w:cs="仿宋"/>
                <w:color w:val="000000"/>
                <w:szCs w:val="21"/>
                <w:highlight w:val="none"/>
                <w:lang w:val="en-US" w:eastAsia="zh-CN"/>
              </w:rPr>
              <w:t xml:space="preserve">等</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由评标委员会</w:t>
            </w:r>
            <w:r>
              <w:rPr>
                <w:rFonts w:hint="eastAsia" w:ascii="仿宋" w:hAnsi="仿宋" w:eastAsia="仿宋" w:cs="仿宋"/>
                <w:color w:val="000000"/>
                <w:szCs w:val="21"/>
                <w:highlight w:val="none"/>
                <w:lang w:val="zh-CN"/>
              </w:rPr>
              <w:t xml:space="preserve">进行综合</w:t>
            </w:r>
            <w:r>
              <w:rPr>
                <w:rFonts w:hint="eastAsia" w:ascii="仿宋" w:hAnsi="仿宋" w:eastAsia="仿宋" w:cs="仿宋"/>
                <w:color w:val="000000"/>
                <w:szCs w:val="21"/>
                <w:highlight w:val="none"/>
                <w:lang w:val="en-US" w:eastAsia="zh-CN"/>
              </w:rPr>
              <w:t xml:space="preserve">评审</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内容包含或多于上述全部且无遗漏</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en-US" w:eastAsia="zh-CN"/>
              </w:rPr>
              <w:t xml:space="preserve">各项预</w:t>
            </w:r>
            <w:r>
              <w:rPr>
                <w:rFonts w:hint="eastAsia" w:ascii="仿宋" w:hAnsi="仿宋" w:eastAsia="仿宋" w:cs="仿宋"/>
                <w:color w:val="000000"/>
                <w:szCs w:val="21"/>
                <w:highlight w:val="none"/>
                <w:lang w:val="zh-CN" w:eastAsia="zh-CN"/>
              </w:rPr>
              <w:t xml:space="preserve">案</w:t>
            </w:r>
            <w:r>
              <w:rPr>
                <w:rFonts w:hint="eastAsia" w:ascii="仿宋" w:hAnsi="仿宋" w:eastAsia="仿宋" w:cs="仿宋"/>
                <w:color w:val="000000"/>
                <w:szCs w:val="21"/>
                <w:highlight w:val="none"/>
                <w:lang w:val="en-US" w:eastAsia="zh-CN"/>
              </w:rPr>
              <w:t xml:space="preserve">及措施完全契合本项目食堂及用餐特点，</w:t>
            </w:r>
            <w:r>
              <w:rPr>
                <w:rFonts w:hint="eastAsia" w:ascii="仿宋" w:hAnsi="仿宋" w:eastAsia="仿宋" w:cs="仿宋"/>
                <w:color w:val="000000"/>
                <w:szCs w:val="21"/>
                <w:highlight w:val="none"/>
                <w:lang w:val="zh-CN" w:eastAsia="zh-CN"/>
              </w:rPr>
              <w:t xml:space="preserve">全面详实，</w:t>
            </w:r>
            <w:r>
              <w:rPr>
                <w:rFonts w:hint="eastAsia" w:ascii="仿宋" w:hAnsi="仿宋" w:eastAsia="仿宋" w:cs="仿宋"/>
                <w:color w:val="000000"/>
                <w:szCs w:val="21"/>
                <w:highlight w:val="none"/>
                <w:lang w:val="en-US" w:eastAsia="zh-CN"/>
              </w:rPr>
              <w:t xml:space="preserve">满足或优于采购需求、实操性强</w:t>
            </w:r>
            <w:r>
              <w:rPr>
                <w:rFonts w:hint="eastAsia" w:ascii="仿宋" w:hAnsi="仿宋" w:eastAsia="仿宋" w:cs="仿宋"/>
                <w:color w:val="000000"/>
                <w:szCs w:val="21"/>
                <w:highlight w:val="none"/>
                <w:lang w:val="zh-CN" w:eastAsia="zh-CN"/>
              </w:rPr>
              <w:t xml:space="preserve">的得</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val="zh-CN" w:eastAsia="zh-CN"/>
              </w:rPr>
              <w:t xml:space="preserve">分；</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方案包含上述全部内容，涉及的每部分预</w:t>
            </w:r>
            <w:r>
              <w:rPr>
                <w:rFonts w:hint="eastAsia" w:ascii="仿宋" w:hAnsi="仿宋" w:eastAsia="仿宋" w:cs="仿宋"/>
                <w:color w:val="000000"/>
                <w:szCs w:val="21"/>
                <w:highlight w:val="none"/>
                <w:lang w:val="zh-CN" w:eastAsia="zh-CN"/>
              </w:rPr>
              <w:t xml:space="preserve">案</w:t>
            </w:r>
            <w:r>
              <w:rPr>
                <w:rFonts w:hint="eastAsia" w:ascii="仿宋" w:hAnsi="仿宋" w:eastAsia="仿宋" w:cs="仿宋"/>
                <w:color w:val="000000"/>
                <w:szCs w:val="21"/>
                <w:highlight w:val="none"/>
                <w:lang w:val="en-US" w:eastAsia="zh-CN"/>
              </w:rPr>
              <w:t xml:space="preserve">及措施能结合本项目食堂及用餐特点提供针对性的阐述，满足采购需求、实际操作可行</w:t>
            </w:r>
            <w:r>
              <w:rPr>
                <w:rFonts w:hint="eastAsia" w:ascii="仿宋" w:hAnsi="仿宋" w:eastAsia="仿宋" w:cs="仿宋"/>
                <w:color w:val="000000"/>
                <w:szCs w:val="21"/>
                <w:highlight w:val="none"/>
                <w:lang w:val="zh-CN" w:eastAsia="zh-CN"/>
              </w:rPr>
              <w:t xml:space="preserve">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eastAsia="zh-CN"/>
              </w:rPr>
              <w:t xml:space="preserve">分；</w:t>
            </w:r>
            <w:r>
              <w:rPr>
                <w:rFonts w:hint="eastAsia" w:ascii="仿宋" w:hAnsi="仿宋" w:eastAsia="仿宋" w:cs="仿宋"/>
                <w:color w:val="000000"/>
                <w:szCs w:val="21"/>
                <w:highlight w:val="none"/>
                <w:lang w:val="zh-CN" w:eastAsia="zh-CN"/>
              </w:rPr>
            </w:r>
            <w:r/>
          </w:p>
          <w:p>
            <w:pPr>
              <w:pStyle w:val="1032"/>
              <w:ind w:firstLine="0"/>
              <w:jc w:val="left"/>
              <w:keepLines w:val="0"/>
              <w:keepNext w:val="0"/>
              <w:pageBreakBefore w:val="0"/>
              <w:spacing w:line="320" w:lineRule="exact"/>
              <w:shd w:val="clear" w:color="auto" w:fill="ffffff"/>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内容有3项以下缺漏，能满足采购需求，但未能结合本项目食堂及用餐特点提供针对性的方案得5分;</w:t>
            </w:r>
            <w:r>
              <w:rPr>
                <w:rFonts w:hint="eastAsia" w:ascii="仿宋" w:hAnsi="仿宋" w:eastAsia="仿宋" w:cs="仿宋"/>
                <w:color w:val="000000"/>
                <w:szCs w:val="21"/>
                <w:highlight w:val="none"/>
                <w:lang w:val="en-US" w:eastAsia="zh-CN"/>
              </w:rPr>
            </w:r>
            <w:r/>
          </w:p>
          <w:p>
            <w:pPr>
              <w:pStyle w:val="1032"/>
              <w:ind w:firstLine="0"/>
              <w:jc w:val="left"/>
              <w:keepLines w:val="0"/>
              <w:keepNext w:val="0"/>
              <w:pageBreakBefore w:val="0"/>
              <w:spacing w:line="320" w:lineRule="exact"/>
              <w:shd w:val="clear" w:color="auto" w:fill="ffffff"/>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内容缺漏较多（大于3项）且未能结合本项目食堂及用餐特点提供针对性的方案的得4分;</w:t>
            </w:r>
            <w:r>
              <w:rPr>
                <w:rFonts w:hint="eastAsia" w:ascii="仿宋" w:hAnsi="仿宋" w:eastAsia="仿宋" w:cs="仿宋"/>
                <w:color w:val="000000"/>
                <w:szCs w:val="21"/>
                <w:highlight w:val="none"/>
                <w:lang w:val="en-US" w:eastAsia="zh-CN"/>
              </w:rPr>
            </w:r>
            <w:r/>
          </w:p>
          <w:p>
            <w:pPr>
              <w:pStyle w:val="1032"/>
              <w:ind w:firstLine="0"/>
              <w:jc w:val="left"/>
              <w:keepLines w:val="0"/>
              <w:keepNext w:val="0"/>
              <w:pageBreakBefore w:val="0"/>
              <w:spacing w:line="32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eastAsia="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hint="eastAsia"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2.7</w:t>
            </w:r>
            <w:r>
              <w:rPr>
                <w:rFonts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合理化建议</w:t>
            </w:r>
            <w:r>
              <w:rPr>
                <w:rFonts w:hint="eastAsia" w:ascii="仿宋" w:hAnsi="仿宋" w:eastAsia="仿宋" w:cs="仿宋"/>
                <w:color w:val="000000"/>
                <w:szCs w:val="21"/>
                <w:highlight w:val="none"/>
                <w:lang w:val="en-US" w:eastAsia="zh-CN"/>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zh-CN"/>
              </w:rPr>
              <w:t xml:space="preserve">供应商针对</w:t>
            </w:r>
            <w:r>
              <w:rPr>
                <w:rFonts w:hint="eastAsia" w:ascii="仿宋" w:hAnsi="仿宋" w:eastAsia="仿宋" w:cs="仿宋"/>
                <w:color w:val="000000"/>
                <w:szCs w:val="21"/>
                <w:highlight w:val="none"/>
                <w:lang w:val="en-US" w:eastAsia="zh-CN"/>
              </w:rPr>
              <w:t xml:space="preserve">社区卫生服务中心食堂运营特点，提供降本增效、能耗管理、提升职工就餐率等方面可操作、能落地实施的合理化建议，由评标委员会</w:t>
            </w:r>
            <w:r>
              <w:rPr>
                <w:rFonts w:hint="eastAsia" w:ascii="仿宋" w:hAnsi="仿宋" w:eastAsia="仿宋" w:cs="仿宋"/>
                <w:color w:val="000000"/>
                <w:szCs w:val="21"/>
                <w:highlight w:val="none"/>
                <w:lang w:val="zh-CN"/>
              </w:rPr>
              <w:t xml:space="preserve">进行综合</w:t>
            </w:r>
            <w:r>
              <w:rPr>
                <w:rFonts w:hint="eastAsia" w:ascii="仿宋" w:hAnsi="仿宋" w:eastAsia="仿宋" w:cs="仿宋"/>
                <w:color w:val="000000"/>
                <w:szCs w:val="21"/>
                <w:highlight w:val="none"/>
                <w:lang w:val="en-US" w:eastAsia="zh-CN"/>
              </w:rPr>
              <w:t xml:space="preserve">评审，每采纳一条得1分，本项最高得3分。</w:t>
            </w:r>
            <w:r>
              <w:rPr>
                <w:rFonts w:hint="eastAsia" w:ascii="仿宋" w:hAnsi="仿宋" w:eastAsia="仿宋" w:cs="仿宋"/>
                <w:color w:val="000000"/>
                <w:szCs w:val="21"/>
                <w:highlight w:val="none"/>
                <w:lang w:val="en-US" w:eastAsia="zh-CN"/>
              </w:rPr>
            </w:r>
            <w:r/>
          </w:p>
          <w:p>
            <w:pPr>
              <w:pStyle w:val="1032"/>
              <w:spacing w:line="320" w:lineRule="exact"/>
              <w:shd w:val="clear" w:color="auto" w:fill="ffffff"/>
              <w:rPr>
                <w:color w:val="000000"/>
                <w:highlight w:val="none"/>
                <w:lang w:val="en-US"/>
              </w:rPr>
            </w:pPr>
            <w:r>
              <w:rPr>
                <w:rFonts w:hint="eastAsia" w:ascii="仿宋" w:hAnsi="仿宋" w:eastAsia="仿宋" w:cs="仿宋"/>
                <w:color w:val="000000"/>
                <w:szCs w:val="21"/>
                <w:highlight w:val="none"/>
                <w:lang w:val="en-US" w:eastAsia="zh-CN"/>
              </w:rPr>
              <w:t xml:space="preserve">未提供或提供的合理化建议未被采纳的不得分。</w:t>
            </w:r>
            <w:r>
              <w:rPr>
                <w:color w:val="000000"/>
                <w:highlight w:val="none"/>
                <w:lang w:val="en-US"/>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2.8</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rPr>
            </w:pPr>
            <w:r>
              <w:rPr>
                <w:rFonts w:hint="eastAsia" w:ascii="仿宋" w:hAnsi="仿宋" w:eastAsia="仿宋" w:cs="仿宋"/>
                <w:color w:val="000000"/>
                <w:szCs w:val="21"/>
                <w:highlight w:val="none"/>
                <w:lang w:val="en-US" w:eastAsia="zh-CN"/>
              </w:rPr>
              <w:t xml:space="preserve">增值服务</w:t>
            </w:r>
            <w:r>
              <w:rPr>
                <w:rFonts w:ascii="仿宋" w:hAnsi="仿宋" w:eastAsia="仿宋" w:cs="仿宋"/>
                <w:b w:val="0"/>
                <w:bCs w:val="0"/>
                <w:color w:val="000000"/>
                <w:sz w:val="21"/>
                <w:szCs w:val="21"/>
                <w:highlight w:val="none"/>
                <w:lang w:val="en-US"/>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供应商针对</w:t>
            </w:r>
            <w:r>
              <w:rPr>
                <w:rFonts w:hint="eastAsia" w:ascii="仿宋" w:hAnsi="仿宋" w:eastAsia="仿宋" w:cs="仿宋"/>
                <w:color w:val="000000"/>
                <w:szCs w:val="21"/>
                <w:highlight w:val="none"/>
                <w:lang w:val="en-US" w:eastAsia="zh-CN"/>
              </w:rPr>
              <w:t xml:space="preserve">社区卫生服务中心食堂运营特点，提供针对食堂运营或就餐人员拟定可操作、能落地实施的优于采购需求的增值服务，由评标委员会</w:t>
            </w:r>
            <w:r>
              <w:rPr>
                <w:rFonts w:hint="eastAsia" w:ascii="仿宋" w:hAnsi="仿宋" w:eastAsia="仿宋" w:cs="仿宋"/>
                <w:color w:val="000000"/>
                <w:szCs w:val="21"/>
                <w:highlight w:val="none"/>
                <w:lang w:val="zh-CN"/>
              </w:rPr>
              <w:t xml:space="preserve">进行综合</w:t>
            </w:r>
            <w:r>
              <w:rPr>
                <w:rFonts w:hint="eastAsia" w:ascii="仿宋" w:hAnsi="仿宋" w:eastAsia="仿宋" w:cs="仿宋"/>
                <w:color w:val="000000"/>
                <w:szCs w:val="21"/>
                <w:highlight w:val="none"/>
                <w:lang w:val="en-US" w:eastAsia="zh-CN"/>
              </w:rPr>
              <w:t xml:space="preserve">评审，每采纳一条得1分，本项最高得4分</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en-US" w:eastAsia="zh-CN"/>
              </w:rPr>
              <w:t xml:space="preserve">未提供或提供的增值服务未被采纳的不得分。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4</w:t>
            </w:r>
            <w:r>
              <w:rPr>
                <w:rFonts w:hint="eastAsia"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val="en-US" w:eastAsia="zh-CN"/>
              </w:rPr>
            </w:r>
            <w:r/>
          </w:p>
        </w:tc>
        <w:tc>
          <w:tcPr>
            <w:gridSpan w:val="2"/>
            <w:tcMar>
              <w:left w:w="108" w:type="dxa"/>
              <w:top w:w="0" w:type="dxa"/>
              <w:right w:w="108" w:type="dxa"/>
              <w:bottom w:w="0" w:type="dxa"/>
            </w:tcMar>
            <w:tcW w:w="5979" w:type="dxa"/>
            <w:vAlign w:val="center"/>
            <w:textDirection w:val="lrTb"/>
            <w:noWrap w:val="false"/>
          </w:tcPr>
          <w:p>
            <w:pPr>
              <w:pStyle w:val="1032"/>
              <w:ind w:left="0" w:firstLine="0"/>
              <w:jc w:val="left"/>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商务分（客观分）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35</w:t>
            </w:r>
            <w:r>
              <w:rPr>
                <w:rFonts w:hint="eastAsia"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rPr>
            </w:pPr>
            <w:r>
              <w:rPr>
                <w:rFonts w:hint="eastAsia" w:ascii="仿宋" w:hAnsi="仿宋" w:eastAsia="仿宋" w:cs="仿宋"/>
                <w:b w:val="0"/>
                <w:bCs w:val="0"/>
                <w:color w:val="000000"/>
                <w:sz w:val="21"/>
                <w:szCs w:val="21"/>
                <w:highlight w:val="none"/>
                <w:lang w:val="en-US" w:eastAsia="zh-CN"/>
              </w:rPr>
              <w:t xml:space="preserve">3.1</w:t>
            </w:r>
            <w:r>
              <w:rPr>
                <w:rFonts w:ascii="仿宋" w:hAnsi="仿宋" w:eastAsia="仿宋" w:cs="仿宋"/>
                <w:b w:val="0"/>
                <w:bCs w:val="0"/>
                <w:color w:val="000000"/>
                <w:sz w:val="21"/>
                <w:szCs w:val="21"/>
                <w:highlight w:val="none"/>
                <w:lang w:val="en-US"/>
              </w:rPr>
            </w:r>
            <w:r/>
          </w:p>
        </w:tc>
        <w:tc>
          <w:tcPr>
            <w:tcMar>
              <w:left w:w="108" w:type="dxa"/>
              <w:top w:w="0" w:type="dxa"/>
              <w:right w:w="108" w:type="dxa"/>
              <w:bottom w:w="0" w:type="dxa"/>
            </w:tcMar>
            <w:tcW w:w="498" w:type="dxa"/>
            <w:vAlign w:val="center"/>
            <w:textDirection w:val="lrTb"/>
            <w:noWrap w:val="false"/>
          </w:tcPr>
          <w:p>
            <w:pPr>
              <w:pStyle w:val="1032"/>
              <w:ind w:firstLine="28"/>
              <w:jc w:val="center"/>
              <w:spacing w:line="320" w:lineRule="exact"/>
              <w:shd w:val="clear" w:color="auto" w:fill="ffffff"/>
              <w:rPr>
                <w:rFonts w:hint="eastAsia" w:ascii="仿宋" w:hAnsi="仿宋" w:eastAsia="仿宋" w:cs="仿宋"/>
                <w:b w:val="0"/>
                <w:bCs w:val="0"/>
                <w:color w:val="000000"/>
                <w:sz w:val="21"/>
                <w:szCs w:val="21"/>
                <w:highlight w:val="none"/>
                <w:lang w:eastAsia="zh-CN"/>
              </w:rPr>
            </w:pPr>
            <w:r>
              <w:rPr>
                <w:rFonts w:hint="eastAsia" w:ascii="仿宋" w:hAnsi="仿宋" w:eastAsia="仿宋" w:cs="仿宋"/>
                <w:color w:val="000000"/>
                <w:szCs w:val="21"/>
                <w:highlight w:val="none"/>
                <w:lang w:val="en-US" w:eastAsia="zh-CN"/>
              </w:rPr>
              <w:t xml:space="preserve">企业认证</w:t>
            </w:r>
            <w:r>
              <w:rPr>
                <w:rFonts w:hint="eastAsia" w:ascii="仿宋" w:hAnsi="仿宋" w:eastAsia="仿宋" w:cs="仿宋"/>
                <w:b w:val="0"/>
                <w:bCs w:val="0"/>
                <w:color w:val="000000"/>
                <w:sz w:val="21"/>
                <w:szCs w:val="21"/>
                <w:highlight w:val="none"/>
                <w:lang w:eastAsia="zh-CN"/>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供应商具有有效的质量管理体系认证证书、环境管理体系认证证书</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职业健康安全管理体系认证证书</w:t>
            </w:r>
            <w:r>
              <w:rPr>
                <w:rFonts w:hint="eastAsia" w:ascii="仿宋" w:hAnsi="仿宋" w:eastAsia="仿宋" w:cs="仿宋"/>
                <w:color w:val="000000"/>
                <w:szCs w:val="21"/>
                <w:highlight w:val="none"/>
                <w:lang w:eastAsia="zh-CN"/>
              </w:rPr>
              <w:t xml:space="preserve">、食品安全管理体系认证</w:t>
            </w:r>
            <w:r>
              <w:rPr>
                <w:rFonts w:hint="eastAsia" w:ascii="仿宋" w:hAnsi="仿宋" w:eastAsia="仿宋" w:cs="仿宋"/>
                <w:color w:val="000000"/>
                <w:szCs w:val="21"/>
                <w:highlight w:val="none"/>
                <w:lang w:val="en-US" w:eastAsia="zh-CN"/>
              </w:rPr>
              <w:t xml:space="preserve">证书</w:t>
            </w:r>
            <w:r>
              <w:rPr>
                <w:rFonts w:hint="eastAsia" w:ascii="仿宋" w:hAnsi="仿宋" w:eastAsia="仿宋" w:cs="仿宋"/>
                <w:color w:val="000000"/>
                <w:szCs w:val="21"/>
                <w:highlight w:val="none"/>
              </w:rPr>
              <w:t xml:space="preserve">的，每有一个证书得</w:t>
            </w: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分，最高得</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rPr>
              <w:t xml:space="preserve">分。</w:t>
            </w:r>
            <w:r>
              <w:rPr>
                <w:rFonts w:hint="eastAsia" w:ascii="仿宋" w:hAnsi="仿宋" w:eastAsia="仿宋" w:cs="仿宋"/>
                <w:color w:val="000000"/>
                <w:szCs w:val="21"/>
                <w:highlight w:val="none"/>
              </w:rPr>
            </w:r>
            <w:r/>
          </w:p>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注：</w:t>
            </w:r>
            <w:r>
              <w:rPr>
                <w:rFonts w:hint="eastAsia" w:ascii="仿宋" w:hAnsi="仿宋" w:eastAsia="仿宋" w:cs="仿宋"/>
                <w:color w:val="000000"/>
                <w:szCs w:val="21"/>
                <w:highlight w:val="none"/>
              </w:rPr>
              <w:t xml:space="preserve">提供证书</w:t>
            </w:r>
            <w:r>
              <w:rPr>
                <w:rFonts w:hint="eastAsia" w:ascii="仿宋" w:hAnsi="仿宋" w:eastAsia="仿宋" w:cs="仿宋"/>
                <w:color w:val="000000"/>
                <w:szCs w:val="21"/>
                <w:highlight w:val="none"/>
                <w:lang w:val="en-US" w:eastAsia="zh-CN"/>
              </w:rPr>
              <w:t xml:space="preserve">扫描件</w:t>
            </w:r>
            <w:r>
              <w:rPr>
                <w:rFonts w:hint="eastAsia" w:ascii="仿宋" w:hAnsi="仿宋" w:eastAsia="仿宋" w:cs="仿宋"/>
                <w:color w:val="000000"/>
                <w:szCs w:val="21"/>
                <w:highlight w:val="none"/>
              </w:rPr>
              <w:t xml:space="preserve">和国家认监委网站查询为有效状态的网页截图</w:t>
            </w:r>
            <w:r>
              <w:rPr>
                <w:rFonts w:hint="eastAsia" w:ascii="仿宋" w:hAnsi="仿宋" w:eastAsia="仿宋" w:cs="仿宋"/>
                <w:color w:val="000000"/>
                <w:szCs w:val="21"/>
                <w:highlight w:val="none"/>
                <w:lang w:val="en-US" w:eastAsia="zh-CN"/>
              </w:rPr>
              <w:t xml:space="preserve">加盖公章</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未按要求提供或提供不全的不得分。</w:t>
            </w:r>
            <w:r>
              <w:rPr>
                <w:rFonts w:hint="eastAsia" w:ascii="仿宋" w:hAnsi="仿宋" w:eastAsia="仿宋" w:cs="仿宋"/>
                <w:color w:val="000000"/>
                <w:szCs w:val="21"/>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hint="eastAsia"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3.2</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firstLine="28"/>
              <w:jc w:val="center"/>
              <w:spacing w:line="320" w:lineRule="exact"/>
              <w:shd w:val="clear" w:color="auto" w:fill="ffff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类似业绩</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供应商近三年（开标截止时间往前推，时间以合同签订时间为准）具有类似集中用餐单位食堂业绩，每提供一个业绩得2分，本项最高得10分。</w:t>
            </w:r>
            <w:r>
              <w:rPr>
                <w:rFonts w:ascii="仿宋" w:hAnsi="仿宋" w:eastAsia="仿宋" w:cs="仿宋"/>
                <w:color w:val="000000"/>
                <w:szCs w:val="21"/>
                <w:highlight w:val="none"/>
                <w:lang w:val="en-US" w:eastAsia="zh-CN"/>
              </w:rPr>
            </w:r>
            <w:r/>
          </w:p>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szCs w:val="21"/>
                <w:highlight w:val="none"/>
                <w:lang w:val="en-US" w:eastAsia="zh-CN"/>
              </w:rPr>
              <w:t xml:space="preserve">注：提供能体现评审内容的业绩合同扫描件；同一项目不同年度的业绩不重复计分。未按要求提供或提供的合同不能体现评审内容的不得分。</w:t>
            </w:r>
            <w:r>
              <w:rPr>
                <w:rFonts w:hint="eastAsia" w:ascii="仿宋" w:hAnsi="仿宋" w:eastAsia="仿宋" w:cs="仿宋"/>
                <w:color w:val="000000"/>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10</w:t>
            </w:r>
            <w:r>
              <w:rPr>
                <w:rFonts w:hint="eastAsia"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3.3</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firstLine="28"/>
              <w:jc w:val="center"/>
              <w:spacing w:line="320" w:lineRule="exact"/>
              <w:shd w:val="clear" w:color="auto" w:fill="ffff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企业荣誉</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highlight w:val="none"/>
                <w:lang w:val="en-US"/>
              </w:rPr>
            </w:pP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lang w:val="en-US"/>
              </w:rPr>
              <w:t xml:space="preserve">获得</w:t>
            </w:r>
            <w:r>
              <w:rPr>
                <w:rFonts w:hint="eastAsia" w:ascii="仿宋" w:hAnsi="仿宋" w:eastAsia="仿宋" w:cs="仿宋"/>
                <w:color w:val="000000"/>
                <w:highlight w:val="none"/>
                <w:lang w:val="en-US" w:eastAsia="zh-CN"/>
              </w:rPr>
              <w:t xml:space="preserve">过政府部门或</w:t>
            </w:r>
            <w:r>
              <w:rPr>
                <w:rFonts w:hint="eastAsia" w:ascii="仿宋" w:hAnsi="仿宋" w:eastAsia="仿宋" w:cs="仿宋"/>
                <w:color w:val="000000"/>
                <w:highlight w:val="none"/>
                <w:lang w:val="en-US"/>
              </w:rPr>
              <w:t xml:space="preserve">党政机关表彰或奖项的，有1个得</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val="en-US"/>
              </w:rPr>
              <w:t xml:space="preserve">分，本项最高得</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val="en-US"/>
              </w:rPr>
              <w:t xml:space="preserve">分。</w:t>
            </w:r>
            <w:r>
              <w:rPr>
                <w:rFonts w:hint="eastAsia" w:ascii="仿宋" w:hAnsi="仿宋" w:eastAsia="仿宋" w:cs="仿宋"/>
                <w:color w:val="000000"/>
                <w:highlight w:val="none"/>
                <w:lang w:val="en-US"/>
              </w:rPr>
            </w:r>
            <w:r/>
          </w:p>
          <w:p>
            <w:pPr>
              <w:pStyle w:val="1032"/>
              <w:spacing w:line="320" w:lineRule="exact"/>
              <w:shd w:val="clear" w:color="auto" w:fill="ffffff"/>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注：</w:t>
            </w:r>
            <w:r>
              <w:rPr>
                <w:rFonts w:hint="eastAsia" w:ascii="仿宋" w:hAnsi="仿宋" w:eastAsia="仿宋" w:cs="仿宋"/>
                <w:color w:val="000000"/>
                <w:highlight w:val="none"/>
                <w:lang w:val="en-US"/>
              </w:rPr>
              <w:t xml:space="preserve">提供</w:t>
            </w:r>
            <w:r>
              <w:rPr>
                <w:rFonts w:hint="eastAsia" w:ascii="仿宋" w:hAnsi="仿宋" w:eastAsia="仿宋" w:cs="仿宋"/>
                <w:color w:val="000000"/>
                <w:highlight w:val="none"/>
                <w:lang w:val="en-US" w:eastAsia="zh-CN"/>
              </w:rPr>
              <w:t xml:space="preserve">表彰发文或</w:t>
            </w:r>
            <w:r>
              <w:rPr>
                <w:rFonts w:hint="eastAsia" w:ascii="仿宋" w:hAnsi="仿宋" w:eastAsia="仿宋" w:cs="仿宋"/>
                <w:color w:val="000000"/>
                <w:highlight w:val="none"/>
                <w:lang w:val="en-US"/>
              </w:rPr>
              <w:t xml:space="preserve">证书或奖项复印件等证明材料并加盖</w:t>
            </w:r>
            <w:r>
              <w:rPr>
                <w:rFonts w:hint="eastAsia" w:ascii="仿宋" w:hAnsi="仿宋" w:eastAsia="仿宋" w:cs="仿宋"/>
                <w:color w:val="000000"/>
                <w:highlight w:val="none"/>
                <w:lang w:val="en-US" w:eastAsia="zh-CN"/>
              </w:rPr>
              <w:t xml:space="preserve">公章，否则不得分。</w:t>
            </w:r>
            <w:r>
              <w:rPr>
                <w:rFonts w:ascii="仿宋" w:hAnsi="仿宋" w:eastAsia="仿宋" w:cs="仿宋"/>
                <w:color w:val="000000"/>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3.4</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firstLine="28"/>
              <w:jc w:val="center"/>
              <w:spacing w:line="320" w:lineRule="exact"/>
              <w:shd w:val="clear" w:color="auto" w:fill="ffff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项目负责人</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1.拟派项目负责人</w:t>
            </w:r>
            <w:r>
              <w:rPr>
                <w:rFonts w:hint="eastAsia" w:ascii="仿宋" w:hAnsi="仿宋" w:eastAsia="仿宋" w:cs="仿宋"/>
                <w:color w:val="000000"/>
                <w:highlight w:val="none"/>
                <w:lang w:val="en-US"/>
              </w:rPr>
              <w:t xml:space="preserve">具有高级（三级）公共营养师证书的，得</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val="en-US"/>
              </w:rPr>
              <w:t xml:space="preserve">分</w:t>
            </w:r>
            <w:r>
              <w:rPr>
                <w:rFonts w:hint="eastAsia" w:ascii="仿宋" w:hAnsi="仿宋" w:eastAsia="仿宋" w:cs="仿宋"/>
                <w:color w:val="000000"/>
                <w:highlight w:val="none"/>
                <w:lang w:val="en-US" w:eastAsia="zh-CN"/>
              </w:rPr>
              <w:t xml:space="preserve">;中级（四级）公共营养师证书的，得2分。</w:t>
            </w:r>
            <w:r>
              <w:rPr>
                <w:rFonts w:hint="eastAsia" w:ascii="仿宋" w:hAnsi="仿宋" w:eastAsia="仿宋" w:cs="仿宋"/>
                <w:color w:val="000000"/>
                <w:highlight w:val="none"/>
                <w:lang w:val="en-US" w:eastAsia="zh-CN"/>
              </w:rPr>
            </w:r>
            <w:r/>
          </w:p>
          <w:p>
            <w:pPr>
              <w:pStyle w:val="1032"/>
              <w:spacing w:line="320" w:lineRule="exact"/>
              <w:shd w:val="clear" w:color="auto" w:fill="ffffff"/>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2.拟派项目负责人持有高级餐饮职业经理人证书的，得1分。</w:t>
            </w:r>
            <w:r>
              <w:rPr>
                <w:rFonts w:ascii="仿宋" w:hAnsi="仿宋" w:eastAsia="仿宋" w:cs="仿宋"/>
                <w:color w:val="000000"/>
                <w:highlight w:val="none"/>
                <w:lang w:val="en-US" w:eastAsia="zh-CN"/>
              </w:rPr>
            </w:r>
            <w:r/>
          </w:p>
          <w:p>
            <w:pPr>
              <w:pStyle w:val="1032"/>
              <w:spacing w:line="320" w:lineRule="exact"/>
              <w:shd w:val="clear" w:color="auto" w:fill="ffffff"/>
              <w:rPr>
                <w:color w:val="000000"/>
                <w:highlight w:val="none"/>
                <w:lang w:val="en-US"/>
              </w:rPr>
            </w:pPr>
            <w:r>
              <w:rPr>
                <w:rFonts w:hint="eastAsia" w:ascii="仿宋" w:hAnsi="仿宋" w:eastAsia="仿宋" w:cs="仿宋"/>
                <w:color w:val="000000"/>
                <w:highlight w:val="none"/>
                <w:lang w:val="en-US" w:eastAsia="zh-CN"/>
              </w:rPr>
              <w:t xml:space="preserve">注：同时提供人员相关证书、身份证、健康证复印件及社保机构出具的供应商为其缴纳的开标截止时间前三个月内任意一个月社保证明材料扫描件，未按要求提供或未提供的不得分。</w:t>
            </w:r>
            <w:r>
              <w:rPr>
                <w:color w:val="000000"/>
                <w:highlight w:val="none"/>
                <w:lang w:val="en-US"/>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4</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3.5</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firstLine="28"/>
              <w:jc w:val="center"/>
              <w:spacing w:line="320" w:lineRule="exact"/>
              <w:shd w:val="clear" w:color="auto" w:fill="ffffff"/>
              <w:rPr>
                <w:rFonts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人员配备（除项目负责人）</w:t>
            </w:r>
            <w:r>
              <w:rPr>
                <w:rFonts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1.具有中式烹调师高级（三级）及以上证书的，每有一人得2分，最高得6分；</w:t>
            </w:r>
            <w:r>
              <w:rPr>
                <w:rFonts w:hint="eastAsia" w:ascii="仿宋" w:hAnsi="仿宋" w:eastAsia="仿宋" w:cs="仿宋"/>
                <w:color w:val="000000"/>
                <w:highlight w:val="none"/>
                <w:lang w:val="en-US" w:eastAsia="zh-CN"/>
              </w:rPr>
            </w:r>
            <w:r/>
          </w:p>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2.具有食品检验检测员证书的，每有一人得2分；</w:t>
            </w:r>
            <w:r>
              <w:rPr>
                <w:rFonts w:hint="eastAsia" w:ascii="仿宋" w:hAnsi="仿宋" w:eastAsia="仿宋" w:cs="仿宋"/>
                <w:color w:val="000000"/>
                <w:highlight w:val="none"/>
                <w:lang w:val="en-US" w:eastAsia="zh-CN"/>
              </w:rPr>
            </w:r>
            <w:r/>
          </w:p>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3.具有营养配餐员证书的，每有一人得2分；</w:t>
            </w:r>
            <w:r>
              <w:rPr>
                <w:rFonts w:hint="eastAsia" w:ascii="仿宋" w:hAnsi="仿宋" w:eastAsia="仿宋" w:cs="仿宋"/>
                <w:color w:val="000000"/>
                <w:highlight w:val="none"/>
                <w:lang w:val="en-US" w:eastAsia="zh-CN"/>
              </w:rPr>
            </w:r>
            <w:r/>
          </w:p>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注：</w:t>
            </w:r>
            <w:r>
              <w:rPr>
                <w:rFonts w:hint="eastAsia" w:ascii="仿宋" w:hAnsi="仿宋" w:eastAsia="仿宋" w:cs="仿宋"/>
                <w:color w:val="000000"/>
                <w:highlight w:val="none"/>
                <w:lang w:val="en-US" w:eastAsia="zh-CN"/>
              </w:rPr>
            </w:r>
            <w:r/>
          </w:p>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1.同一人员只计一次得分，不累计和重复得分。</w:t>
            </w:r>
            <w:r>
              <w:rPr>
                <w:rFonts w:hint="eastAsia" w:ascii="仿宋" w:hAnsi="仿宋" w:eastAsia="仿宋" w:cs="仿宋"/>
                <w:color w:val="000000"/>
                <w:highlight w:val="none"/>
                <w:lang w:val="en-US" w:eastAsia="zh-CN"/>
              </w:rPr>
            </w:r>
            <w:r/>
          </w:p>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2.中式烹调师证书的颁发机构2020年12月31日及之前由中华人民共和国人力资源和社会保障部门颁发；2021年1月1日及以后由经人力资源和社会保障部门备案公布的社会培训组织、技工院校颁发。</w:t>
            </w:r>
            <w:r>
              <w:rPr>
                <w:rFonts w:hint="eastAsia" w:ascii="仿宋" w:hAnsi="仿宋" w:eastAsia="仿宋" w:cs="仿宋"/>
                <w:color w:val="000000"/>
                <w:highlight w:val="none"/>
                <w:lang w:val="en-US" w:eastAsia="zh-CN"/>
              </w:rPr>
            </w:r>
            <w:r/>
          </w:p>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3.响应文件中同时提供人员相关证书、身份证、健康证复印件及社保机构出具的供应商为其缴纳的开标截止时间前三个月内任意一个月社保证明材料扫描件，未按要求提供或未提供的不得分。</w:t>
            </w:r>
            <w:r>
              <w:rPr>
                <w:rFonts w:hint="eastAsia" w:ascii="仿宋" w:hAnsi="仿宋" w:eastAsia="仿宋" w:cs="仿宋"/>
                <w:color w:val="000000"/>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10</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bidi="ar-SA"/>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lang w:val="en-US" w:eastAsia="zh-CN" w:bidi="ar-SA"/>
              </w:rPr>
            </w:r>
            <w:r/>
          </w:p>
        </w:tc>
      </w:tr>
    </w:tbl>
    <w:p>
      <w:pPr>
        <w:pStyle w:val="1032"/>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032"/>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032"/>
        <w:contextualSpacing/>
        <w:ind w:firstLine="422"/>
        <w:spacing w:line="360" w:lineRule="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注：</w:t>
      </w:r>
      <w:r>
        <w:rPr>
          <w:rFonts w:hint="eastAsia" w:ascii="仿宋" w:hAnsi="仿宋" w:eastAsia="仿宋" w:cs="仿宋"/>
          <w:color w:val="000000"/>
          <w:szCs w:val="21"/>
          <w:highlight w:val="none"/>
        </w:rPr>
        <w:t xml:space="preserve">1.进场时，若有货物及相关服务参数未能满足招标文件要求而中标人未在偏离表中明确的情况，须无条件按采购人及招标文件要求整改，否则采购人有权解除合同同时追究因此造成的损失。</w:t>
      </w:r>
      <w:r>
        <w:rPr>
          <w:rFonts w:hint="eastAsia" w:ascii="仿宋" w:hAnsi="仿宋" w:eastAsia="仿宋" w:cs="仿宋"/>
          <w:color w:val="000000"/>
          <w:szCs w:val="21"/>
          <w:highlight w:val="none"/>
        </w:rPr>
      </w:r>
      <w:r/>
    </w:p>
    <w:p>
      <w:pPr>
        <w:pStyle w:val="1032"/>
        <w:contextualSpacing/>
        <w:ind w:firstLine="422"/>
        <w:jc w:val="left"/>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评标标准中要求提供的证明文件及资料等按要求在投标文件中提供扫描件并加盖供应商公章；扫描件材料内容、印章必须完整、字迹清晰，确保文字（数字）内容无变形、清晰可辨且在有效期内。评标委员会成员半数以上认定模糊无法辨认的不得分。</w:t>
      </w:r>
      <w:r>
        <w:rPr>
          <w:rFonts w:hint="eastAsia" w:ascii="仿宋" w:hAnsi="仿宋" w:eastAsia="仿宋" w:cs="仿宋"/>
          <w:b/>
          <w:bCs/>
          <w:color w:val="000000"/>
          <w:szCs w:val="21"/>
          <w:highlight w:val="none"/>
        </w:rPr>
      </w:r>
      <w:r/>
    </w:p>
    <w:p>
      <w:pPr>
        <w:pStyle w:val="1032"/>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3.评标时，未能按以上要求提供相应证明的，不作为评审依据，不得分。</w:t>
      </w:r>
      <w:r>
        <w:rPr>
          <w:rFonts w:hint="eastAsia" w:ascii="仿宋" w:hAnsi="仿宋" w:eastAsia="仿宋" w:cs="仿宋"/>
          <w:color w:val="000000"/>
          <w:szCs w:val="21"/>
          <w:highlight w:val="none"/>
        </w:rPr>
      </w:r>
      <w:r/>
    </w:p>
    <w:p>
      <w:pPr>
        <w:pStyle w:val="1032"/>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4.采用电子证书或者网络截图，必须使用经过备案的政府官方网站截图，且必须是可供任何人查询的公开信息，截图必须包含网址和网站名称，保证他人能够通过网址再次查询到。</w:t>
      </w:r>
      <w:r>
        <w:rPr>
          <w:rFonts w:hint="eastAsia" w:ascii="仿宋" w:hAnsi="仿宋" w:eastAsia="仿宋" w:cs="仿宋"/>
          <w:color w:val="000000"/>
          <w:szCs w:val="21"/>
          <w:highlight w:val="none"/>
        </w:rPr>
      </w:r>
      <w:r/>
    </w:p>
    <w:p>
      <w:pPr>
        <w:pStyle w:val="1032"/>
        <w:contextualSpacing/>
        <w:ind w:firstLine="420"/>
        <w:spacing w:line="360" w:lineRule="auto"/>
        <w:widowControl/>
        <w:rPr>
          <w:rFonts w:hint="eastAsia" w:ascii="仿宋" w:hAnsi="仿宋" w:eastAsia="仿宋" w:cs="仿宋"/>
          <w:color w:val="000000"/>
          <w:szCs w:val="21"/>
          <w:highlight w:val="none"/>
        </w:rPr>
        <w:sectPr>
          <w:headerReference w:type="default" r:id="rId14"/>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color w:val="000000"/>
          <w:szCs w:val="21"/>
          <w:highlight w:val="none"/>
        </w:rPr>
        <w:t xml:space="preserve">5.供应商按评分细则所有得分项目均视为对本次招标的承诺，成交后均作为合同的组成部分。</w:t>
      </w:r>
      <w:bookmarkStart w:id="788" w:name="_Hlk138940374"/>
      <w:r/>
      <w:bookmarkStart w:id="789" w:name="_Hlk139629014"/>
      <w:r>
        <w:rPr>
          <w:rFonts w:hint="eastAsia" w:ascii="仿宋" w:hAnsi="仿宋" w:eastAsia="仿宋" w:cs="仿宋"/>
          <w:color w:val="000000"/>
          <w:szCs w:val="21"/>
          <w:highlight w:val="none"/>
        </w:rPr>
      </w:r>
      <w:r/>
    </w:p>
    <w:p>
      <w:pPr>
        <w:pStyle w:val="1032"/>
        <w:contextualSpacing/>
        <w:ind w:firstLine="643"/>
        <w:jc w:val="center"/>
        <w:spacing w:line="360" w:lineRule="auto"/>
        <w:widowControl/>
        <w:rPr>
          <w:rStyle w:val="1217"/>
          <w:rFonts w:hint="eastAsia" w:ascii="仿宋" w:hAnsi="仿宋" w:eastAsia="仿宋" w:cs="仿宋"/>
          <w:color w:val="000000"/>
          <w:highlight w:val="none"/>
        </w:rPr>
      </w:pPr>
      <w:r/>
      <w:bookmarkStart w:id="790" w:name="_Toc4942"/>
      <w:r>
        <w:rPr>
          <w:rStyle w:val="1217"/>
          <w:rFonts w:hint="eastAsia" w:ascii="仿宋" w:hAnsi="仿宋" w:eastAsia="仿宋" w:cs="仿宋"/>
          <w:color w:val="000000"/>
          <w:highlight w:val="none"/>
        </w:rPr>
        <w:t xml:space="preserve">第五章   </w:t>
      </w:r>
      <w:bookmarkStart w:id="791" w:name="_Hlk119590621"/>
      <w:r>
        <w:rPr>
          <w:rStyle w:val="1217"/>
          <w:rFonts w:hint="eastAsia" w:ascii="仿宋" w:hAnsi="仿宋" w:eastAsia="仿宋" w:cs="仿宋"/>
          <w:color w:val="000000"/>
          <w:highlight w:val="none"/>
        </w:rPr>
        <w:t xml:space="preserve">采购需求</w:t>
      </w:r>
      <w:r>
        <w:rPr>
          <w:rStyle w:val="1217"/>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bookmarkEnd w:id="790"/>
      <w:r>
        <w:rPr>
          <w:rFonts w:hint="eastAsia" w:ascii="仿宋" w:hAnsi="仿宋" w:eastAsia="仿宋" w:cs="仿宋"/>
          <w:color w:val="000000"/>
          <w:highlight w:val="none"/>
        </w:rPr>
      </w:r>
      <w:r/>
    </w:p>
    <w:p>
      <w:pPr>
        <w:pStyle w:val="1504"/>
        <w:ind w:firstLine="422"/>
        <w:jc w:val="both"/>
        <w:keepLines w:val="0"/>
        <w:keepNext w:val="0"/>
        <w:pageBreakBefore w:val="0"/>
        <w:spacing w:line="360" w:lineRule="auto"/>
        <w:shd w:val="clear" w:color="auto" w:fill="ffffff"/>
        <w:widowControl w:val="off"/>
        <w:rPr>
          <w:rFonts w:hint="eastAsia" w:ascii="仿宋" w:hAnsi="仿宋" w:eastAsia="仿宋" w:cs="仿宋"/>
          <w:b/>
          <w:bCs w:val="0"/>
          <w:color w:val="000000"/>
          <w:sz w:val="21"/>
          <w:szCs w:val="21"/>
          <w:highlight w:val="none"/>
        </w:rPr>
      </w:pPr>
      <w:r>
        <w:rPr>
          <w:rFonts w:hint="eastAsia" w:ascii="仿宋" w:hAnsi="仿宋" w:eastAsia="仿宋" w:cs="仿宋"/>
          <w:b/>
          <w:bCs w:val="0"/>
          <w:color w:val="000000"/>
          <w:sz w:val="21"/>
          <w:szCs w:val="21"/>
          <w:highlight w:val="none"/>
        </w:rPr>
        <w:t xml:space="preserve">一、采购标的</w:t>
      </w:r>
      <w:r>
        <w:rPr>
          <w:rFonts w:hint="eastAsia" w:ascii="仿宋" w:hAnsi="仿宋" w:eastAsia="仿宋" w:cs="仿宋"/>
          <w:b/>
          <w:bCs w:val="0"/>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u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项目名称：</w:t>
      </w:r>
      <w:r>
        <w:rPr>
          <w:rFonts w:hint="eastAsia" w:ascii="仿宋" w:hAnsi="仿宋" w:eastAsia="仿宋" w:cs="仿宋"/>
          <w:b/>
          <w:bCs/>
          <w:i w:val="0"/>
          <w:iCs w:val="0"/>
          <w:caps w:val="0"/>
          <w:color w:val="000000"/>
          <w:spacing w:val="0"/>
          <w:sz w:val="21"/>
          <w:szCs w:val="21"/>
          <w:highlight w:val="none"/>
          <w:u w:val="none"/>
          <w:shd w:val="clear" w:color="auto" w:fill="ffffff"/>
          <w:lang w:eastAsia="zh-CN"/>
        </w:rPr>
        <w:t xml:space="preserve">常州市钟楼区五星街道社区卫生服务中心职工食堂委托经营服务（二次）</w:t>
      </w:r>
      <w:r>
        <w:rPr>
          <w:rFonts w:hint="eastAsia" w:ascii="仿宋" w:hAnsi="仿宋" w:eastAsia="仿宋" w:cs="仿宋"/>
          <w:color w:val="000000"/>
          <w:sz w:val="21"/>
          <w:szCs w:val="21"/>
          <w:highlight w:val="none"/>
          <w:u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项目预算金额：</w:t>
      </w:r>
      <w:r>
        <w:rPr>
          <w:rFonts w:hint="eastAsia" w:ascii="仿宋" w:hAnsi="仿宋" w:eastAsia="仿宋" w:cs="仿宋"/>
          <w:color w:val="000000"/>
          <w:sz w:val="21"/>
          <w:szCs w:val="21"/>
          <w:highlight w:val="none"/>
          <w:lang w:val="en-US" w:eastAsia="zh-CN"/>
        </w:rPr>
        <w:t xml:space="preserve">人民币135万元/三年（约45万元/年）</w:t>
      </w:r>
      <w:r>
        <w:rPr>
          <w:rFonts w:hint="eastAsia" w:ascii="仿宋" w:hAnsi="仿宋" w:eastAsia="仿宋" w:cs="仿宋"/>
          <w:color w:val="000000"/>
          <w:sz w:val="21"/>
          <w:szCs w:val="21"/>
          <w:highlight w:val="none"/>
        </w:rPr>
      </w:r>
      <w:r/>
    </w:p>
    <w:p>
      <w:pPr>
        <w:pStyle w:val="1054"/>
        <w:spacing w:line="360" w:lineRule="auto"/>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项目最高限价：</w:t>
      </w:r>
      <w:r>
        <w:rPr>
          <w:rFonts w:hint="eastAsia" w:ascii="仿宋" w:hAnsi="仿宋" w:eastAsia="仿宋" w:cs="仿宋"/>
          <w:color w:val="000000"/>
          <w:sz w:val="21"/>
          <w:szCs w:val="21"/>
          <w:highlight w:val="none"/>
          <w:lang w:val="en-US" w:eastAsia="zh-CN"/>
        </w:rPr>
        <w:t xml:space="preserve">人民币135万元/三年（约45万元/年）</w:t>
      </w:r>
      <w:r>
        <w:rPr>
          <w:rFonts w:hint="eastAsia" w:ascii="仿宋" w:hAnsi="仿宋" w:eastAsia="仿宋" w:cs="仿宋"/>
          <w:color w:val="000000"/>
          <w:sz w:val="21"/>
          <w:szCs w:val="21"/>
          <w:highlight w:val="none"/>
          <w:lang w:val="en-US" w:eastAsia="zh-CN"/>
        </w:rPr>
      </w:r>
      <w:r/>
    </w:p>
    <w:p>
      <w:pPr>
        <w:pStyle w:val="1032"/>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本项目以各单餐用餐标准为基数，供应商在响应文件中填报固定优惠率（优惠率应大于0）。</w:t>
      </w:r>
      <w:r>
        <w:rPr>
          <w:rFonts w:hint="eastAsia" w:ascii="仿宋" w:hAnsi="仿宋" w:eastAsia="仿宋" w:cs="仿宋"/>
          <w:b/>
          <w:bCs/>
          <w:color w:val="000000"/>
          <w:szCs w:val="21"/>
          <w:highlight w:val="none"/>
          <w:lang w:val="en-US" w:eastAsia="zh-CN"/>
        </w:rPr>
      </w:r>
      <w:r/>
    </w:p>
    <w:p>
      <w:pPr>
        <w:pStyle w:val="1032"/>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每餐须按照单餐用餐标准*（1+成交优惠率）（元/人/餐）】的价格提供餐食，最终按照实际就餐次数据实结算。</w:t>
      </w:r>
      <w:r>
        <w:rPr>
          <w:rFonts w:hint="eastAsia" w:ascii="仿宋" w:hAnsi="仿宋" w:eastAsia="仿宋" w:cs="仿宋"/>
          <w:b/>
          <w:bCs/>
          <w:color w:val="000000"/>
          <w:szCs w:val="21"/>
          <w:highlight w:val="none"/>
          <w:lang w:val="en-US" w:eastAsia="zh-CN"/>
        </w:rPr>
      </w:r>
      <w:r/>
    </w:p>
    <w:p>
      <w:pPr>
        <w:pStyle w:val="1032"/>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结算价举例：如单餐用餐标准为15元/人/餐，成交优惠率为20%，则成交供应商须按15*（1+20%）=18元/人/餐的标准向采购人提供餐食，实际结算价为15元/人/餐。年度结算金额不得高于45万元，高出部分不予结算。</w:t>
      </w:r>
      <w:r>
        <w:rPr>
          <w:rFonts w:hint="eastAsia" w:ascii="仿宋" w:hAnsi="仿宋" w:eastAsia="仿宋" w:cs="仿宋"/>
          <w:b/>
          <w:bCs/>
          <w:color w:val="000000"/>
          <w:szCs w:val="21"/>
          <w:highlight w:val="none"/>
          <w:lang w:val="en-US"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采购需求：</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1）供应商主要负责提供常州市钟楼区五星街道社区卫生服务中心职工就餐服务及少量临时接待、检修人员等人员的就餐服务；</w:t>
      </w:r>
      <w:r>
        <w:rPr>
          <w:rFonts w:hint="eastAsia" w:ascii="仿宋" w:hAnsi="仿宋" w:eastAsia="仿宋" w:cs="仿宋"/>
          <w:color w:val="000000"/>
          <w:sz w:val="21"/>
          <w:szCs w:val="21"/>
          <w:highlight w:val="none"/>
          <w:lang w:eastAsia="zh-CN"/>
        </w:rPr>
        <w:t xml:space="preserve">在确保职工正常就餐供应的前提下，可兼营小炒、点心等；同时负责食堂全流程运营管理，包括但不限于食材采购、菜品制作、就餐服务、环境卫生、设施设备维护等</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p>
      <w:pPr>
        <w:pStyle w:val="1032"/>
        <w:ind w:firstLine="420"/>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经营模式：供应商自负盈亏，</w:t>
      </w:r>
      <w:r>
        <w:rPr>
          <w:rFonts w:hint="eastAsia" w:ascii="仿宋" w:hAnsi="仿宋" w:eastAsia="仿宋" w:cs="仿宋"/>
          <w:color w:val="000000"/>
          <w:sz w:val="21"/>
          <w:szCs w:val="21"/>
          <w:highlight w:val="none"/>
          <w:lang w:val="en-US" w:eastAsia="zh-CN"/>
        </w:rPr>
        <w:t xml:space="preserve">费用根据确定的餐费标准按实际就餐次数结算，</w:t>
      </w:r>
      <w:r>
        <w:rPr>
          <w:rFonts w:hint="eastAsia" w:ascii="仿宋" w:hAnsi="仿宋" w:eastAsia="仿宋" w:cs="仿宋"/>
          <w:b/>
          <w:bCs/>
          <w:color w:val="000000"/>
          <w:szCs w:val="21"/>
          <w:highlight w:val="none"/>
          <w:lang w:val="en-US"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eastAsia="zh-CN"/>
        </w:rPr>
        <w:t xml:space="preserve">合同履行期限：暂定三年，合同一年一签。</w:t>
      </w:r>
      <w:r>
        <w:rPr>
          <w:rFonts w:hint="eastAsia" w:ascii="仿宋" w:hAnsi="仿宋" w:eastAsia="仿宋" w:cs="仿宋"/>
          <w:color w:val="000000"/>
          <w:sz w:val="21"/>
          <w:szCs w:val="21"/>
          <w:highlight w:val="none"/>
          <w:lang w:val="en-US" w:eastAsia="zh-CN"/>
        </w:rPr>
        <w:t xml:space="preserve">一年</w:t>
      </w:r>
      <w:r>
        <w:rPr>
          <w:rFonts w:hint="eastAsia" w:ascii="仿宋" w:hAnsi="仿宋" w:eastAsia="仿宋" w:cs="仿宋"/>
          <w:color w:val="000000"/>
          <w:sz w:val="21"/>
          <w:szCs w:val="21"/>
          <w:highlight w:val="none"/>
          <w:lang w:eastAsia="zh-CN"/>
        </w:rPr>
        <w:t xml:space="preserve">合同服务期满后，采购人根据考核结果确定是否续签服务合同，若考核情况良好，</w:t>
      </w:r>
      <w:r>
        <w:rPr>
          <w:rFonts w:hint="eastAsia" w:ascii="仿宋" w:hAnsi="仿宋" w:eastAsia="仿宋" w:cs="仿宋"/>
          <w:color w:val="000000"/>
          <w:sz w:val="21"/>
          <w:szCs w:val="21"/>
          <w:highlight w:val="none"/>
          <w:lang w:val="en-US" w:eastAsia="zh-CN"/>
        </w:rPr>
        <w:t xml:space="preserve">可续签</w:t>
      </w:r>
      <w:r>
        <w:rPr>
          <w:rFonts w:hint="eastAsia" w:ascii="仿宋" w:hAnsi="仿宋" w:eastAsia="仿宋" w:cs="仿宋"/>
          <w:color w:val="000000"/>
          <w:sz w:val="21"/>
          <w:szCs w:val="21"/>
          <w:highlight w:val="none"/>
          <w:lang w:eastAsia="zh-CN"/>
        </w:rPr>
        <w:t xml:space="preserve">下一</w:t>
      </w:r>
      <w:r>
        <w:rPr>
          <w:rFonts w:hint="eastAsia" w:ascii="仿宋" w:hAnsi="仿宋" w:eastAsia="仿宋" w:cs="仿宋"/>
          <w:color w:val="000000"/>
          <w:sz w:val="21"/>
          <w:szCs w:val="21"/>
          <w:highlight w:val="none"/>
          <w:lang w:val="en-US" w:eastAsia="zh-CN"/>
        </w:rPr>
        <w:t xml:space="preserve">年度</w:t>
      </w:r>
      <w:r>
        <w:rPr>
          <w:rFonts w:hint="eastAsia" w:ascii="仿宋" w:hAnsi="仿宋" w:eastAsia="仿宋" w:cs="仿宋"/>
          <w:color w:val="000000"/>
          <w:sz w:val="21"/>
          <w:szCs w:val="21"/>
          <w:highlight w:val="none"/>
          <w:lang w:eastAsia="zh-CN"/>
        </w:rPr>
        <w:t xml:space="preserve">的服务合同，续签最多不超过2次。</w:t>
      </w:r>
      <w:r>
        <w:rPr>
          <w:rFonts w:hint="eastAsia" w:ascii="仿宋" w:hAnsi="仿宋" w:eastAsia="仿宋" w:cs="仿宋"/>
          <w:color w:val="000000"/>
          <w:sz w:val="21"/>
          <w:szCs w:val="21"/>
          <w:highlight w:val="none"/>
          <w:lang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t xml:space="preserve">本项目是否接受联合体：否。</w:t>
      </w:r>
      <w:r>
        <w:rPr>
          <w:rFonts w:hint="eastAsia" w:ascii="仿宋" w:hAnsi="仿宋" w:eastAsia="仿宋" w:cs="仿宋"/>
          <w:color w:val="000000"/>
          <w:sz w:val="21"/>
          <w:szCs w:val="21"/>
          <w:highlight w:val="none"/>
          <w:lang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本项目是否接受进口产品响应：</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是/否接受分支机构参与响应：</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lang w:val="en-US"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rPr>
        <w:t xml:space="preserve">是/否属于政府购买服务：</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lang w:val="en-US" w:eastAsia="zh-CN"/>
        </w:rPr>
      </w:r>
      <w:r/>
    </w:p>
    <w:p>
      <w:pPr>
        <w:pStyle w:val="1054"/>
        <w:spacing w:line="360" w:lineRule="auto"/>
        <w:shd w:val="clear" w:color="auto" w:fill="ffffff"/>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rPr>
        <w:t xml:space="preserve">是/否专门面向中小企业预留采购份额：</w:t>
      </w:r>
      <w:r>
        <w:rPr>
          <w:rFonts w:hint="eastAsia" w:ascii="仿宋" w:hAnsi="仿宋" w:eastAsia="仿宋" w:cs="仿宋"/>
          <w:b/>
          <w:bCs/>
          <w:color w:val="000000"/>
          <w:sz w:val="21"/>
          <w:szCs w:val="21"/>
          <w:highlight w:val="none"/>
          <w:lang w:val="en-US" w:eastAsia="zh-CN"/>
        </w:rPr>
        <w:t xml:space="preserve">是，</w:t>
      </w:r>
      <w:r>
        <w:rPr>
          <w:rFonts w:hint="eastAsia" w:ascii="仿宋" w:hAnsi="仿宋" w:eastAsia="仿宋" w:cs="仿宋"/>
          <w:b/>
          <w:bCs/>
          <w:color w:val="000000"/>
          <w:sz w:val="21"/>
          <w:szCs w:val="21"/>
          <w:highlight w:val="none"/>
        </w:rPr>
        <w:t xml:space="preserve">本项目专门面向中小</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小微企业采购。即：提供的货物全部由符合政策要求的中小/小微企业制造、服务全部由符合政策要求的中小/小微企业承接。说明：中小企业包含中型、小型、微型企业，残疾人福利性单位和监狱企业视同小微企业。</w:t>
      </w:r>
      <w:r>
        <w:rPr>
          <w:rFonts w:hint="eastAsia" w:ascii="仿宋" w:hAnsi="仿宋" w:eastAsia="仿宋" w:cs="仿宋"/>
          <w:b/>
          <w:bCs/>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11.</w:t>
      </w:r>
      <w:r>
        <w:rPr>
          <w:rFonts w:hint="eastAsia" w:ascii="仿宋" w:hAnsi="仿宋" w:eastAsia="仿宋" w:cs="仿宋"/>
          <w:color w:val="000000"/>
          <w:sz w:val="21"/>
          <w:szCs w:val="21"/>
          <w:highlight w:val="none"/>
        </w:rPr>
        <w:t xml:space="preserve">本项目的特定资格要求：</w:t>
      </w:r>
      <w:r>
        <w:rPr>
          <w:rFonts w:hint="eastAsia" w:ascii="仿宋" w:hAnsi="仿宋" w:eastAsia="仿宋" w:cs="仿宋"/>
          <w:color w:val="000000"/>
          <w:sz w:val="21"/>
          <w:szCs w:val="21"/>
          <w:highlight w:val="none"/>
        </w:rPr>
      </w:r>
      <w:r/>
    </w:p>
    <w:p>
      <w:pPr>
        <w:pStyle w:val="1054"/>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供应商应具有有效期内的《食品经营许可证》且经营项目必须包含“餐饮服务管理（承包集中用餐单位食堂）或（承包单位食堂）”；【备注：如供应商提供的《食品经营许可证》中的经营场所非本项目所在地，须承诺成交后在采购人要求的时间内按规定在项目所在地办理合规的《食品经营许可证》。承诺函格式自拟，未提供承诺函或承诺的内容不符合要求的，作无效响应处理】  </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项目类别：</w:t>
      </w:r>
      <w:r>
        <w:rPr>
          <w:rFonts w:hint="eastAsia" w:ascii="仿宋" w:hAnsi="仿宋" w:eastAsia="仿宋" w:cs="仿宋"/>
          <w:b/>
          <w:bCs/>
          <w:color w:val="000000"/>
          <w:sz w:val="21"/>
          <w:szCs w:val="21"/>
          <w:highlight w:val="none"/>
          <w:lang w:val="en-US" w:eastAsia="zh-CN"/>
        </w:rPr>
        <w:t xml:space="preserve">服务</w:t>
      </w:r>
      <w:r>
        <w:rPr>
          <w:rFonts w:hint="eastAsia" w:ascii="仿宋" w:hAnsi="仿宋" w:eastAsia="仿宋" w:cs="仿宋"/>
          <w:b/>
          <w:bCs/>
          <w:color w:val="000000"/>
          <w:sz w:val="21"/>
          <w:szCs w:val="21"/>
          <w:highlight w:val="none"/>
        </w:rPr>
        <w:t xml:space="preserve">类</w:t>
      </w:r>
      <w:r>
        <w:rPr>
          <w:rFonts w:hint="eastAsia" w:ascii="仿宋" w:hAnsi="仿宋" w:eastAsia="仿宋" w:cs="仿宋"/>
          <w:color w:val="000000"/>
          <w:sz w:val="21"/>
          <w:szCs w:val="21"/>
          <w:highlight w:val="none"/>
        </w:rPr>
      </w:r>
      <w:r/>
    </w:p>
    <w:p>
      <w:pPr>
        <w:pStyle w:val="1504"/>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二、商务要求</w:t>
      </w:r>
      <w:r>
        <w:rPr>
          <w:rFonts w:hint="eastAsia" w:ascii="仿宋" w:hAnsi="仿宋" w:eastAsia="仿宋" w:cs="仿宋"/>
          <w:b/>
          <w:bCs/>
          <w:color w:val="000000"/>
          <w:sz w:val="21"/>
          <w:szCs w:val="21"/>
          <w:highlight w:val="none"/>
        </w:rPr>
      </w:r>
      <w:r/>
    </w:p>
    <w:p>
      <w:pPr>
        <w:pStyle w:val="1032"/>
        <w:numPr>
          <w:ilvl w:val="0"/>
          <w:numId w:val="0"/>
        </w:numPr>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bidi="ar-SA"/>
        </w:rPr>
        <w:t xml:space="preserve">1.</w:t>
      </w:r>
      <w:r>
        <w:rPr>
          <w:rFonts w:hint="eastAsia" w:ascii="仿宋" w:hAnsi="仿宋" w:eastAsia="仿宋" w:cs="仿宋"/>
          <w:color w:val="000000"/>
          <w:sz w:val="21"/>
          <w:szCs w:val="21"/>
          <w:highlight w:val="none"/>
        </w:rPr>
        <w:t xml:space="preserve">交付（实施）的时间（期限）和地点（范围）</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交付（实施）的时间（期限）</w:t>
      </w:r>
      <w:r>
        <w:rPr>
          <w:rFonts w:hint="eastAsia" w:ascii="仿宋" w:hAnsi="仿宋" w:eastAsia="仿宋" w:cs="仿宋"/>
          <w:color w:val="000000"/>
          <w:sz w:val="21"/>
          <w:szCs w:val="21"/>
          <w:highlight w:val="none"/>
          <w:lang w:eastAsia="zh-CN"/>
        </w:rPr>
        <w:t xml:space="preserve">：暂定三年，合同一年一签。</w:t>
      </w:r>
      <w:r>
        <w:rPr>
          <w:rFonts w:hint="eastAsia" w:ascii="仿宋" w:hAnsi="仿宋" w:eastAsia="仿宋" w:cs="仿宋"/>
          <w:color w:val="000000"/>
          <w:sz w:val="21"/>
          <w:szCs w:val="21"/>
          <w:highlight w:val="none"/>
          <w:lang w:val="en-US" w:eastAsia="zh-CN"/>
        </w:rPr>
        <w:t xml:space="preserve">一年</w:t>
      </w:r>
      <w:r>
        <w:rPr>
          <w:rFonts w:hint="eastAsia" w:ascii="仿宋" w:hAnsi="仿宋" w:eastAsia="仿宋" w:cs="仿宋"/>
          <w:color w:val="000000"/>
          <w:sz w:val="21"/>
          <w:szCs w:val="21"/>
          <w:highlight w:val="none"/>
          <w:lang w:eastAsia="zh-CN"/>
        </w:rPr>
        <w:t xml:space="preserve">合同服务期满后，采购人根据考核结果确定是否续签服务合同，若考核情况良好，</w:t>
      </w:r>
      <w:r>
        <w:rPr>
          <w:rFonts w:hint="eastAsia" w:ascii="仿宋" w:hAnsi="仿宋" w:eastAsia="仿宋" w:cs="仿宋"/>
          <w:color w:val="000000"/>
          <w:sz w:val="21"/>
          <w:szCs w:val="21"/>
          <w:highlight w:val="none"/>
          <w:lang w:val="en-US" w:eastAsia="zh-CN"/>
        </w:rPr>
        <w:t xml:space="preserve">可续签</w:t>
      </w:r>
      <w:r>
        <w:rPr>
          <w:rFonts w:hint="eastAsia" w:ascii="仿宋" w:hAnsi="仿宋" w:eastAsia="仿宋" w:cs="仿宋"/>
          <w:color w:val="000000"/>
          <w:sz w:val="21"/>
          <w:szCs w:val="21"/>
          <w:highlight w:val="none"/>
          <w:lang w:eastAsia="zh-CN"/>
        </w:rPr>
        <w:t xml:space="preserve">下一</w:t>
      </w:r>
      <w:r>
        <w:rPr>
          <w:rFonts w:hint="eastAsia" w:ascii="仿宋" w:hAnsi="仿宋" w:eastAsia="仿宋" w:cs="仿宋"/>
          <w:color w:val="000000"/>
          <w:sz w:val="21"/>
          <w:szCs w:val="21"/>
          <w:highlight w:val="none"/>
          <w:lang w:val="en-US" w:eastAsia="zh-CN"/>
        </w:rPr>
        <w:t xml:space="preserve">年度</w:t>
      </w:r>
      <w:r>
        <w:rPr>
          <w:rFonts w:hint="eastAsia" w:ascii="仿宋" w:hAnsi="仿宋" w:eastAsia="仿宋" w:cs="仿宋"/>
          <w:color w:val="000000"/>
          <w:sz w:val="21"/>
          <w:szCs w:val="21"/>
          <w:highlight w:val="none"/>
          <w:lang w:eastAsia="zh-CN"/>
        </w:rPr>
        <w:t xml:space="preserve">的服务合同，续签最多不超过2次。</w:t>
      </w:r>
      <w:r>
        <w:rPr>
          <w:rFonts w:hint="eastAsia" w:ascii="仿宋" w:hAnsi="仿宋" w:eastAsia="仿宋" w:cs="仿宋"/>
          <w:color w:val="000000"/>
          <w:sz w:val="21"/>
          <w:szCs w:val="21"/>
          <w:highlight w:val="none"/>
          <w:lang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交付（实施）的地点（范围）</w:t>
      </w:r>
      <w:r>
        <w:rPr>
          <w:rFonts w:hint="eastAsia" w:ascii="仿宋" w:hAnsi="仿宋" w:eastAsia="仿宋" w:cs="仿宋"/>
          <w:color w:val="000000"/>
          <w:sz w:val="21"/>
          <w:szCs w:val="21"/>
          <w:highlight w:val="none"/>
          <w:lang w:eastAsia="zh-CN"/>
        </w:rPr>
        <w:t xml:space="preserve">：常州市关河西路282号 ，</w:t>
      </w:r>
      <w:r>
        <w:rPr>
          <w:rFonts w:hint="eastAsia" w:ascii="仿宋" w:hAnsi="仿宋" w:eastAsia="仿宋" w:cs="仿宋"/>
          <w:color w:val="000000"/>
          <w:sz w:val="21"/>
          <w:szCs w:val="21"/>
          <w:highlight w:val="none"/>
          <w:lang w:val="en-US" w:eastAsia="zh-CN"/>
        </w:rPr>
        <w:t xml:space="preserve">常州市钟楼区五星街道社区卫生服务中心内</w:t>
      </w:r>
      <w:r>
        <w:rPr>
          <w:rFonts w:hint="eastAsia" w:ascii="仿宋" w:hAnsi="仿宋" w:eastAsia="仿宋" w:cs="仿宋"/>
          <w:color w:val="000000"/>
          <w:sz w:val="21"/>
          <w:szCs w:val="21"/>
          <w:highlight w:val="none"/>
          <w:lang w:val="en-US"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付款条件（进度和方式）</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结算周期及流程：双方</w:t>
      </w:r>
      <w:r>
        <w:rPr>
          <w:rFonts w:hint="eastAsia" w:ascii="仿宋" w:hAnsi="仿宋" w:eastAsia="仿宋" w:cs="仿宋"/>
          <w:color w:val="000000"/>
          <w:sz w:val="21"/>
          <w:szCs w:val="21"/>
          <w:highlight w:val="none"/>
          <w:lang w:val="en-US" w:eastAsia="zh-CN"/>
        </w:rPr>
        <w:t xml:space="preserve">在</w:t>
      </w:r>
      <w:r>
        <w:rPr>
          <w:rFonts w:hint="eastAsia" w:ascii="仿宋" w:hAnsi="仿宋" w:eastAsia="仿宋" w:cs="仿宋"/>
          <w:color w:val="000000"/>
          <w:sz w:val="21"/>
          <w:szCs w:val="21"/>
          <w:highlight w:val="none"/>
        </w:rPr>
        <w:t xml:space="preserve">每月10日前（遇节假日顺延），核对上月实际用餐数据（含用餐人数、用餐次数、用餐标准等），确认无误后签署《月度用餐结算确认单》；成交供应商需在签署确认单后3个工作日内，向采购人开具合格的增值税发票，采购人在收到合格发票后支付上月结算费用。满足合同约定支付条件的，自收到发票后10个工作日内支付。因</w:t>
      </w:r>
      <w:r>
        <w:rPr>
          <w:rFonts w:hint="eastAsia" w:ascii="仿宋" w:hAnsi="仿宋" w:eastAsia="仿宋" w:cs="仿宋"/>
          <w:color w:val="000000"/>
          <w:sz w:val="21"/>
          <w:szCs w:val="21"/>
          <w:highlight w:val="none"/>
          <w:lang w:val="en-US" w:eastAsia="zh-CN"/>
        </w:rPr>
        <w:t xml:space="preserve">供应商</w:t>
      </w:r>
      <w:r>
        <w:rPr>
          <w:rFonts w:hint="eastAsia" w:ascii="仿宋" w:hAnsi="仿宋" w:eastAsia="仿宋" w:cs="仿宋"/>
          <w:color w:val="000000"/>
          <w:sz w:val="21"/>
          <w:szCs w:val="21"/>
          <w:highlight w:val="none"/>
        </w:rPr>
        <w:t xml:space="preserve">未及时提供发票及所需材料导致相应后果的，</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不承担任何责任。</w:t>
      </w:r>
      <w:r>
        <w:rPr>
          <w:rFonts w:hint="eastAsia" w:ascii="仿宋" w:hAnsi="仿宋" w:eastAsia="仿宋" w:cs="仿宋"/>
          <w:b/>
          <w:bCs/>
          <w:color w:val="000000"/>
          <w:sz w:val="21"/>
          <w:szCs w:val="21"/>
          <w:highlight w:val="none"/>
          <w:lang w:val="en-US" w:eastAsia="zh-CN"/>
        </w:rPr>
        <w:t xml:space="preserve">年度结算金额不得高于45万元，高出部分不予结算。</w:t>
      </w:r>
      <w:r>
        <w:rPr>
          <w:rFonts w:hint="eastAsia" w:ascii="仿宋" w:hAnsi="仿宋" w:eastAsia="仿宋" w:cs="仿宋"/>
          <w:b/>
          <w:bCs/>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：暂留2个月结算费用作为</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，合同履行期满，且供应商无违约行为、无未结清费用、资产移交合格后，采购人在15个工作日内将</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无息退还供应商。</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水电费结算：水电费按实际发生额每月结算一次，由采购人代为缴纳</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供应商需在收到</w:t>
      </w:r>
      <w:r>
        <w:rPr>
          <w:rFonts w:hint="eastAsia" w:ascii="仿宋" w:hAnsi="仿宋" w:eastAsia="仿宋" w:cs="仿宋"/>
          <w:color w:val="000000"/>
          <w:sz w:val="21"/>
          <w:szCs w:val="21"/>
          <w:highlight w:val="none"/>
          <w:lang w:val="en-US" w:eastAsia="zh-CN"/>
        </w:rPr>
        <w:t xml:space="preserve">采购人的</w:t>
      </w:r>
      <w:r>
        <w:rPr>
          <w:rFonts w:hint="eastAsia" w:ascii="仿宋" w:hAnsi="仿宋" w:eastAsia="仿宋" w:cs="仿宋"/>
          <w:color w:val="000000"/>
          <w:sz w:val="21"/>
          <w:szCs w:val="21"/>
          <w:highlight w:val="none"/>
        </w:rPr>
        <w:t xml:space="preserve">缴费凭证后3个工作日内，将水电费足额支付给采购人</w:t>
      </w:r>
      <w:r>
        <w:rPr>
          <w:rFonts w:hint="eastAsia" w:ascii="仿宋" w:hAnsi="仿宋" w:eastAsia="仿宋" w:cs="仿宋"/>
          <w:color w:val="000000"/>
          <w:sz w:val="21"/>
          <w:szCs w:val="21"/>
          <w:highlight w:val="none"/>
          <w:lang w:val="en-US" w:eastAsia="zh-CN"/>
        </w:rPr>
        <w:t xml:space="preserve">或从应结算费用中扣除</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包装和运输</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货物类必须要求供应商满足《关于印发〈商品包装政府采购需求标准（试行）〉、〈快递包装政府采购需求标准（试行）〉的通知》（财办库〔2020〕123号））的规定。</w:t>
      </w:r>
      <w:r>
        <w:rPr>
          <w:rFonts w:hint="eastAsia" w:ascii="仿宋" w:hAnsi="仿宋" w:eastAsia="仿宋" w:cs="仿宋"/>
          <w:color w:val="000000"/>
          <w:sz w:val="21"/>
          <w:szCs w:val="21"/>
          <w:highlight w:val="none"/>
          <w:lang w:val="en-US" w:eastAsia="zh-CN"/>
        </w:rPr>
      </w:r>
      <w:r/>
    </w:p>
    <w:p>
      <w:pPr>
        <w:pStyle w:val="1032"/>
        <w:ind w:left="0" w:right="0" w:firstLine="420"/>
        <w:jc w:val="both"/>
        <w:keepLines w:val="0"/>
        <w:keepNext w:val="0"/>
        <w:pageBreakBefore w:val="0"/>
        <w:spacing w:line="360" w:lineRule="auto"/>
        <w:widowControl w:val="off"/>
        <w:rPr>
          <w:rFonts w:ascii="仿宋" w:hAnsi="仿宋" w:eastAsia="仿宋" w:cs="仿宋"/>
          <w:color w:val="000000"/>
          <w:sz w:val="21"/>
          <w:szCs w:val="21"/>
          <w:highlight w:val="none"/>
          <w:lang w:val="en-US" w:eastAsia="zh-CN"/>
        </w:rPr>
        <w:outlineLvl w:val="9"/>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售后服务（质保期等）</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详见技术要求</w:t>
      </w:r>
      <w:r>
        <w:rPr>
          <w:rFonts w:ascii="仿宋" w:hAnsi="仿宋" w:eastAsia="仿宋" w:cs="仿宋"/>
          <w:color w:val="000000"/>
          <w:sz w:val="21"/>
          <w:szCs w:val="21"/>
          <w:highlight w:val="none"/>
          <w:lang w:val="en-US" w:eastAsia="zh-CN"/>
        </w:rPr>
      </w:r>
      <w:r/>
    </w:p>
    <w:p>
      <w:pPr>
        <w:pStyle w:val="1032"/>
        <w:ind w:left="0" w:right="0" w:firstLine="420"/>
        <w:jc w:val="both"/>
        <w:keepLines w:val="0"/>
        <w:keepNext w:val="0"/>
        <w:pageBreakBefore w:val="0"/>
        <w:spacing w:line="360" w:lineRule="auto"/>
        <w:widowControl w:val="off"/>
        <w:rPr>
          <w:rFonts w:hint="eastAsia" w:ascii="仿宋" w:hAnsi="仿宋" w:eastAsia="仿宋" w:cs="仿宋"/>
          <w:i/>
          <w:color w:val="000000"/>
          <w:sz w:val="21"/>
          <w:szCs w:val="21"/>
          <w:highlight w:val="none"/>
        </w:rPr>
        <w:outlineLvl w:val="9"/>
      </w:pPr>
      <w:r>
        <w:rPr>
          <w:rFonts w:hint="eastAsia" w:ascii="仿宋" w:hAnsi="仿宋" w:eastAsia="仿宋" w:cs="仿宋"/>
          <w:color w:val="000000"/>
          <w:sz w:val="21"/>
          <w:szCs w:val="21"/>
          <w:highlight w:val="none"/>
        </w:rPr>
        <w:t xml:space="preserve">5</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保险：无</w:t>
      </w:r>
      <w:r>
        <w:rPr>
          <w:rFonts w:hint="eastAsia" w:ascii="仿宋" w:hAnsi="仿宋" w:eastAsia="仿宋" w:cs="仿宋"/>
          <w:i/>
          <w:color w:val="000000"/>
          <w:sz w:val="21"/>
          <w:szCs w:val="21"/>
          <w:highlight w:val="none"/>
        </w:rPr>
      </w:r>
      <w:r/>
    </w:p>
    <w:p>
      <w:pPr>
        <w:pStyle w:val="1504"/>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三、技术要求</w:t>
      </w:r>
      <w:r>
        <w:rPr>
          <w:rFonts w:hint="eastAsia" w:ascii="仿宋" w:hAnsi="仿宋" w:eastAsia="仿宋" w:cs="仿宋"/>
          <w:b/>
          <w:bCs/>
          <w:color w:val="000000"/>
          <w:sz w:val="21"/>
          <w:szCs w:val="21"/>
          <w:highlight w:val="none"/>
        </w:rPr>
      </w:r>
      <w:r/>
    </w:p>
    <w:p>
      <w:pPr>
        <w:pStyle w:val="1032"/>
        <w:ind w:firstLine="422"/>
        <w:jc w:val="left"/>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本项目采购需求涉及的服务要求及技术标准，采用现行相关的国家标准、行业标准及企业标准，当相关标准互相冲突时，以高一级的标准为准；所有这些采用的标准如有新旧版本冲突，合同履行时按有关机构发布的最新版本的标准执行。本项目所参照的国家、行业、地方标准如有被新版本所替代的，采用新版本或旧版本为检测标准的检测报告及证明材料都将被接受。</w:t>
      </w:r>
      <w:r>
        <w:rPr>
          <w:rFonts w:hint="eastAsia" w:ascii="仿宋" w:hAnsi="仿宋" w:eastAsia="仿宋" w:cs="仿宋"/>
          <w:b/>
          <w:bCs/>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outlineLvl w:val="0"/>
      </w:pPr>
      <w:r/>
      <w:bookmarkStart w:id="792" w:name="heading_1"/>
      <w:r/>
      <w:bookmarkStart w:id="793" w:name="_Toc10798"/>
      <w:r>
        <w:rPr>
          <w:rFonts w:hint="eastAsia" w:ascii="仿宋" w:hAnsi="仿宋" w:eastAsia="仿宋" w:cs="仿宋"/>
          <w:b/>
          <w:bCs w:val="0"/>
          <w:i w:val="0"/>
          <w:iCs w:val="0"/>
          <w:color w:val="000000"/>
          <w:sz w:val="21"/>
          <w:szCs w:val="21"/>
          <w:highlight w:val="none"/>
          <w:lang w:val="en-US" w:eastAsia="zh-CN"/>
        </w:rPr>
        <w:t xml:space="preserve">A</w:t>
      </w:r>
      <w:r>
        <w:rPr>
          <w:rFonts w:hint="eastAsia" w:ascii="仿宋" w:hAnsi="仿宋" w:eastAsia="仿宋" w:cs="仿宋"/>
          <w:b/>
          <w:bCs w:val="0"/>
          <w:i w:val="0"/>
          <w:iCs w:val="0"/>
          <w:color w:val="000000"/>
          <w:sz w:val="21"/>
          <w:szCs w:val="21"/>
          <w:highlight w:val="none"/>
        </w:rPr>
        <w:t xml:space="preserve">、用餐标准及相关约定</w:t>
      </w:r>
      <w:bookmarkEnd w:id="792"/>
      <w:r/>
      <w:bookmarkEnd w:id="793"/>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outlineLvl w:val="1"/>
      </w:pPr>
      <w:r/>
      <w:bookmarkStart w:id="794" w:name="heading_2"/>
      <w:r>
        <w:rPr>
          <w:rFonts w:hint="eastAsia" w:ascii="仿宋" w:hAnsi="仿宋" w:eastAsia="仿宋" w:cs="仿宋"/>
          <w:b/>
          <w:bCs w:val="0"/>
          <w:i w:val="0"/>
          <w:iCs w:val="0"/>
          <w:color w:val="000000"/>
          <w:sz w:val="21"/>
          <w:szCs w:val="21"/>
          <w:highlight w:val="none"/>
        </w:rPr>
        <w:t xml:space="preserve">（一）用餐清单及标准</w:t>
      </w:r>
      <w:bookmarkEnd w:id="794"/>
      <w:r>
        <w:rPr>
          <w:rFonts w:hint="eastAsia" w:ascii="仿宋" w:hAnsi="仿宋" w:eastAsia="仿宋" w:cs="仿宋"/>
          <w:b/>
          <w:bCs w:val="0"/>
          <w:i w:val="0"/>
          <w:iCs w:val="0"/>
          <w:color w:val="000000"/>
          <w:sz w:val="21"/>
          <w:szCs w:val="21"/>
          <w:highlight w:val="none"/>
        </w:rPr>
      </w:r>
      <w:r/>
    </w:p>
    <w:tbl>
      <w:tblPr>
        <w:tblW w:w="0" w:type="auto"/>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685"/>
        <w:gridCol w:w="1423"/>
        <w:gridCol w:w="1596"/>
        <w:gridCol w:w="1536"/>
        <w:gridCol w:w="1248"/>
        <w:gridCol w:w="2351"/>
      </w:tblGrid>
      <w:tr>
        <w:trPr/>
        <w:tc>
          <w:tcPr>
            <w:tcMar>
              <w:left w:w="120" w:type="dxa"/>
              <w:top w:w="60" w:type="dxa"/>
              <w:right w:w="120" w:type="dxa"/>
              <w:bottom w:w="30" w:type="dxa"/>
            </w:tcMar>
            <w:tcW w:w="685"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序号</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423"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用餐时间</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9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预估用餐人数（人）</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3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用餐标准</w:t>
            </w:r>
            <w:r>
              <w:rPr>
                <w:rFonts w:hint="eastAsia" w:ascii="仿宋" w:hAnsi="仿宋" w:eastAsia="仿宋" w:cs="仿宋"/>
                <w:b/>
                <w:bCs w:val="0"/>
                <w:i w:val="0"/>
                <w:iCs w:val="0"/>
                <w:color w:val="000000"/>
                <w:sz w:val="21"/>
                <w:szCs w:val="21"/>
                <w:highlight w:val="none"/>
              </w:rPr>
            </w:r>
            <w:r/>
          </w:p>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（元/人/餐）</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248" w:type="dxa"/>
            <w:vAlign w:val="center"/>
            <w:textDirection w:val="lrTb"/>
            <w:noWrap w:val="false"/>
          </w:tcPr>
          <w:p>
            <w:pPr>
              <w:pStyle w:val="1032"/>
              <w:jc w:val="center"/>
              <w:rPr>
                <w:rFonts w:ascii="仿宋" w:hAnsi="仿宋" w:eastAsia="仿宋" w:cs="仿宋"/>
                <w:b/>
                <w:bCs w:val="0"/>
                <w:i w:val="0"/>
                <w:iCs w:val="0"/>
                <w:color w:val="000000"/>
                <w:sz w:val="21"/>
                <w:szCs w:val="21"/>
                <w:highlight w:val="none"/>
                <w:lang w:val="en-US" w:eastAsia="zh-CN"/>
              </w:rPr>
            </w:pPr>
            <w:r>
              <w:rPr>
                <w:rFonts w:hint="eastAsia" w:ascii="仿宋" w:hAnsi="仿宋" w:eastAsia="仿宋" w:cs="仿宋"/>
                <w:b/>
                <w:bCs w:val="0"/>
                <w:i w:val="0"/>
                <w:iCs w:val="0"/>
                <w:color w:val="000000"/>
                <w:sz w:val="21"/>
                <w:szCs w:val="21"/>
                <w:highlight w:val="none"/>
              </w:rPr>
              <w:t xml:space="preserve">用餐天数</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lang w:val="en-US" w:eastAsia="zh-CN"/>
              </w:rPr>
              <w:t xml:space="preserve">天/月）</w:t>
            </w:r>
            <w:r>
              <w:rPr>
                <w:rFonts w:ascii="仿宋" w:hAnsi="仿宋" w:eastAsia="仿宋" w:cs="仿宋"/>
                <w:b/>
                <w:bCs w:val="0"/>
                <w:i w:val="0"/>
                <w:iCs w:val="0"/>
                <w:color w:val="000000"/>
                <w:sz w:val="21"/>
                <w:szCs w:val="21"/>
                <w:highlight w:val="none"/>
                <w:lang w:val="en-US" w:eastAsia="zh-CN"/>
              </w:rPr>
            </w:r>
            <w:r/>
          </w:p>
        </w:tc>
        <w:tc>
          <w:tcPr>
            <w:tcMar>
              <w:left w:w="120" w:type="dxa"/>
              <w:top w:w="60" w:type="dxa"/>
              <w:right w:w="120" w:type="dxa"/>
              <w:bottom w:w="30" w:type="dxa"/>
            </w:tcMar>
            <w:tcW w:w="2351"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备注</w:t>
            </w:r>
            <w:r>
              <w:rPr>
                <w:rFonts w:hint="eastAsia" w:ascii="仿宋" w:hAnsi="仿宋" w:eastAsia="仿宋" w:cs="仿宋"/>
                <w:b/>
                <w:bCs w:val="0"/>
                <w:i w:val="0"/>
                <w:iCs w:val="0"/>
                <w:color w:val="000000"/>
                <w:sz w:val="21"/>
                <w:szCs w:val="21"/>
                <w:highlight w:val="none"/>
              </w:rPr>
            </w:r>
            <w:r/>
          </w:p>
        </w:tc>
      </w:tr>
      <w:tr>
        <w:trPr>
          <w:trHeight w:val="432"/>
        </w:trPr>
        <w:tc>
          <w:tcPr>
            <w:tcMar>
              <w:left w:w="120" w:type="dxa"/>
              <w:top w:w="60" w:type="dxa"/>
              <w:right w:w="120" w:type="dxa"/>
              <w:bottom w:w="30" w:type="dxa"/>
            </w:tcMar>
            <w:tcW w:w="685"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1</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423"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早餐</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9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8</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3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5</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248"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30</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2351"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对值班职工提供，可对全体职工开放</w:t>
            </w:r>
            <w:r>
              <w:rPr>
                <w:rFonts w:hint="eastAsia" w:ascii="仿宋" w:hAnsi="仿宋" w:eastAsia="仿宋" w:cs="仿宋"/>
                <w:b/>
                <w:bCs w:val="0"/>
                <w:i w:val="0"/>
                <w:iCs w:val="0"/>
                <w:color w:val="000000"/>
                <w:sz w:val="21"/>
                <w:szCs w:val="21"/>
                <w:highlight w:val="none"/>
              </w:rPr>
            </w:r>
            <w:r/>
          </w:p>
        </w:tc>
      </w:tr>
      <w:tr>
        <w:trPr/>
        <w:tc>
          <w:tcPr>
            <w:tcMar>
              <w:left w:w="120" w:type="dxa"/>
              <w:top w:w="60" w:type="dxa"/>
              <w:right w:w="120" w:type="dxa"/>
              <w:bottom w:w="30" w:type="dxa"/>
            </w:tcMar>
            <w:tcW w:w="685"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2</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423"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中餐</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9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90</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3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15</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248"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22</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2351"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全体职工主要用餐时段</w:t>
            </w:r>
            <w:r>
              <w:rPr>
                <w:rFonts w:hint="eastAsia" w:ascii="仿宋" w:hAnsi="仿宋" w:eastAsia="仿宋" w:cs="仿宋"/>
                <w:b/>
                <w:bCs w:val="0"/>
                <w:i w:val="0"/>
                <w:iCs w:val="0"/>
                <w:color w:val="000000"/>
                <w:sz w:val="21"/>
                <w:szCs w:val="21"/>
                <w:highlight w:val="none"/>
              </w:rPr>
            </w:r>
            <w:r/>
          </w:p>
        </w:tc>
      </w:tr>
      <w:tr>
        <w:trPr/>
        <w:tc>
          <w:tcPr>
            <w:tcMar>
              <w:left w:w="120" w:type="dxa"/>
              <w:top w:w="60" w:type="dxa"/>
              <w:right w:w="120" w:type="dxa"/>
              <w:bottom w:w="30" w:type="dxa"/>
            </w:tcMar>
            <w:tcW w:w="685"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3</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423"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晚餐</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9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8</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3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15</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248"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30</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2351"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对值班职工提供</w:t>
            </w:r>
            <w:r>
              <w:rPr>
                <w:rFonts w:hint="eastAsia" w:ascii="仿宋" w:hAnsi="仿宋" w:eastAsia="仿宋" w:cs="仿宋"/>
                <w:b/>
                <w:bCs w:val="0"/>
                <w:i w:val="0"/>
                <w:iCs w:val="0"/>
                <w:color w:val="000000"/>
                <w:sz w:val="21"/>
                <w:szCs w:val="21"/>
                <w:highlight w:val="none"/>
              </w:rPr>
            </w:r>
            <w:r/>
          </w:p>
        </w:tc>
      </w:tr>
    </w:tbl>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outlineLvl w:val="1"/>
      </w:pPr>
      <w:r/>
      <w:bookmarkStart w:id="795" w:name="heading_3"/>
      <w:r>
        <w:rPr>
          <w:rFonts w:hint="eastAsia" w:ascii="仿宋" w:hAnsi="仿宋" w:eastAsia="仿宋" w:cs="仿宋"/>
          <w:b/>
          <w:bCs w:val="0"/>
          <w:i w:val="0"/>
          <w:iCs w:val="0"/>
          <w:color w:val="000000"/>
          <w:sz w:val="21"/>
          <w:szCs w:val="21"/>
          <w:highlight w:val="none"/>
        </w:rPr>
        <w:t xml:space="preserve">（二）伙食具体要求</w:t>
      </w:r>
      <w:bookmarkEnd w:id="795"/>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1.职工用餐要求：</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（1）早餐：提供粥类、牛奶、包子、生煎、麻糕、油条、煮鸡蛋等品类中任意3样，保障值班职工用餐需求，可向全体职工开放供应。</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（2）中餐、晚餐：每餐</w:t>
      </w:r>
      <w:r>
        <w:rPr>
          <w:rFonts w:hint="eastAsia" w:ascii="仿宋" w:hAnsi="仿宋" w:eastAsia="仿宋" w:cs="仿宋"/>
          <w:b/>
          <w:bCs w:val="0"/>
          <w:i w:val="0"/>
          <w:iCs w:val="0"/>
          <w:color w:val="000000"/>
          <w:sz w:val="21"/>
          <w:szCs w:val="21"/>
          <w:highlight w:val="none"/>
          <w:lang w:val="en-US" w:eastAsia="zh-CN"/>
        </w:rPr>
        <w:t xml:space="preserve">标准</w:t>
      </w:r>
      <w:r>
        <w:rPr>
          <w:rFonts w:hint="eastAsia" w:ascii="仿宋" w:hAnsi="仿宋" w:eastAsia="仿宋" w:cs="仿宋"/>
          <w:b/>
          <w:bCs w:val="0"/>
          <w:i w:val="0"/>
          <w:iCs w:val="0"/>
          <w:color w:val="000000"/>
          <w:sz w:val="21"/>
          <w:szCs w:val="21"/>
          <w:highlight w:val="none"/>
        </w:rPr>
        <w:t xml:space="preserve">提供不少于</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rPr>
        <w:t xml:space="preserve">1大荤</w:t>
      </w:r>
      <w:r>
        <w:rPr>
          <w:rFonts w:hint="eastAsia" w:ascii="仿宋" w:hAnsi="仿宋" w:eastAsia="仿宋" w:cs="仿宋"/>
          <w:b/>
          <w:bCs w:val="0"/>
          <w:i w:val="0"/>
          <w:iCs w:val="0"/>
          <w:color w:val="000000"/>
          <w:sz w:val="21"/>
          <w:szCs w:val="21"/>
          <w:highlight w:val="none"/>
          <w:lang w:val="en-US" w:eastAsia="zh-CN"/>
        </w:rPr>
        <w:t xml:space="preserve">+</w:t>
      </w:r>
      <w:r>
        <w:rPr>
          <w:rFonts w:hint="eastAsia" w:ascii="仿宋" w:hAnsi="仿宋" w:eastAsia="仿宋" w:cs="仿宋"/>
          <w:b/>
          <w:bCs w:val="0"/>
          <w:i w:val="0"/>
          <w:iCs w:val="0"/>
          <w:color w:val="000000"/>
          <w:sz w:val="21"/>
          <w:szCs w:val="21"/>
          <w:highlight w:val="none"/>
        </w:rPr>
        <w:t xml:space="preserve">1小荤</w:t>
      </w:r>
      <w:r>
        <w:rPr>
          <w:rFonts w:hint="eastAsia" w:ascii="仿宋" w:hAnsi="仿宋" w:eastAsia="仿宋" w:cs="仿宋"/>
          <w:b/>
          <w:bCs w:val="0"/>
          <w:i w:val="0"/>
          <w:iCs w:val="0"/>
          <w:color w:val="000000"/>
          <w:sz w:val="21"/>
          <w:szCs w:val="21"/>
          <w:highlight w:val="none"/>
          <w:lang w:val="en-US" w:eastAsia="zh-CN"/>
        </w:rPr>
        <w:t xml:space="preserve">+</w:t>
      </w:r>
      <w:r>
        <w:rPr>
          <w:rFonts w:hint="eastAsia" w:ascii="仿宋" w:hAnsi="仿宋" w:eastAsia="仿宋" w:cs="仿宋"/>
          <w:b/>
          <w:bCs w:val="0"/>
          <w:i w:val="0"/>
          <w:iCs w:val="0"/>
          <w:color w:val="000000"/>
          <w:sz w:val="21"/>
          <w:szCs w:val="21"/>
          <w:highlight w:val="none"/>
        </w:rPr>
        <w:t xml:space="preserve">2素菜</w:t>
      </w:r>
      <w:r>
        <w:rPr>
          <w:rFonts w:hint="eastAsia" w:ascii="仿宋" w:hAnsi="仿宋" w:eastAsia="仿宋" w:cs="仿宋"/>
          <w:b/>
          <w:bCs w:val="0"/>
          <w:i w:val="0"/>
          <w:iCs w:val="0"/>
          <w:color w:val="000000"/>
          <w:sz w:val="21"/>
          <w:szCs w:val="21"/>
          <w:highlight w:val="none"/>
          <w:lang w:val="en-US" w:eastAsia="zh-CN"/>
        </w:rPr>
        <w:t xml:space="preserve">+</w:t>
      </w:r>
      <w:r>
        <w:rPr>
          <w:rFonts w:hint="eastAsia" w:ascii="仿宋" w:hAnsi="仿宋" w:eastAsia="仿宋" w:cs="仿宋"/>
          <w:b/>
          <w:bCs w:val="0"/>
          <w:i w:val="0"/>
          <w:iCs w:val="0"/>
          <w:color w:val="000000"/>
          <w:sz w:val="21"/>
          <w:szCs w:val="21"/>
          <w:highlight w:val="none"/>
        </w:rPr>
        <w:t xml:space="preserve">1汤</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rPr>
        <w:t xml:space="preserve">；食堂需提前公示职工一周菜谱，中餐及晚餐菜谱不得重复。菜肴品种丰富，定期更新菜品，积极创新菜肴品种，根据季节变化推出适宜菜品。</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（3）自行点餐标准：同类性质冷菜价格≤裕芳斋冷菜价，热菜价格≤舅婆家热菜价，价格需公示。</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lang w:val="en-US" w:eastAsia="zh-CN"/>
        </w:rPr>
      </w:pPr>
      <w:r>
        <w:rPr>
          <w:rFonts w:hint="eastAsia" w:ascii="仿宋" w:hAnsi="仿宋" w:eastAsia="仿宋" w:cs="仿宋"/>
          <w:b/>
          <w:bCs w:val="0"/>
          <w:i w:val="0"/>
          <w:iCs w:val="0"/>
          <w:color w:val="000000"/>
          <w:sz w:val="21"/>
          <w:szCs w:val="21"/>
          <w:highlight w:val="none"/>
        </w:rPr>
        <w:t xml:space="preserve">2.</w:t>
      </w:r>
      <w:r>
        <w:rPr>
          <w:rFonts w:hint="eastAsia" w:ascii="仿宋" w:hAnsi="仿宋" w:eastAsia="仿宋" w:cs="仿宋"/>
          <w:b/>
          <w:bCs w:val="0"/>
          <w:i w:val="0"/>
          <w:iCs w:val="0"/>
          <w:color w:val="000000"/>
          <w:sz w:val="21"/>
          <w:szCs w:val="21"/>
          <w:highlight w:val="none"/>
          <w:lang w:val="en-US" w:eastAsia="zh-CN"/>
        </w:rPr>
        <w:t xml:space="preserve">在确保上述就餐正常供应后，可根据职工和患者、家属需要兼营小炒、点心等，承接中心临时接待、检修人员工作餐等少量餐饮服务。</w:t>
      </w:r>
      <w:r>
        <w:rPr>
          <w:rFonts w:hint="eastAsia" w:ascii="仿宋" w:hAnsi="仿宋" w:eastAsia="仿宋" w:cs="仿宋"/>
          <w:b/>
          <w:bCs w:val="0"/>
          <w:i w:val="0"/>
          <w:iCs w:val="0"/>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lang w:val="en-US" w:eastAsia="zh-CN"/>
        </w:rPr>
        <w:t xml:space="preserve">三）</w:t>
      </w:r>
      <w:r>
        <w:rPr>
          <w:rFonts w:hint="eastAsia" w:ascii="仿宋" w:hAnsi="仿宋" w:eastAsia="仿宋" w:cs="仿宋"/>
          <w:b/>
          <w:bCs w:val="0"/>
          <w:i w:val="0"/>
          <w:iCs w:val="0"/>
          <w:color w:val="000000"/>
          <w:sz w:val="21"/>
          <w:szCs w:val="21"/>
          <w:highlight w:val="none"/>
        </w:rPr>
        <w:t xml:space="preserve">职工饭卡管理</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采购人职工用餐人数合计约100人，职工饭卡每月固定充值330元，按每年12个月计算，饭卡内金额仅限在食堂用餐消费，年底清零。</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outlineLvl w:val="1"/>
      </w:pPr>
      <w:r/>
      <w:bookmarkStart w:id="796" w:name="heading_4"/>
      <w:r>
        <w:rPr>
          <w:rFonts w:hint="eastAsia" w:ascii="仿宋" w:hAnsi="仿宋" w:eastAsia="仿宋" w:cs="仿宋"/>
          <w:b/>
          <w:bCs w:val="0"/>
          <w:i w:val="0"/>
          <w:iCs w:val="0"/>
          <w:color w:val="000000"/>
          <w:sz w:val="21"/>
          <w:szCs w:val="21"/>
          <w:highlight w:val="none"/>
        </w:rPr>
        <w:t xml:space="preserve">（</w:t>
      </w:r>
      <w:r>
        <w:rPr>
          <w:rFonts w:hint="eastAsia" w:ascii="仿宋" w:hAnsi="仿宋" w:eastAsia="仿宋" w:cs="仿宋"/>
          <w:b/>
          <w:bCs w:val="0"/>
          <w:i w:val="0"/>
          <w:iCs w:val="0"/>
          <w:color w:val="000000"/>
          <w:sz w:val="21"/>
          <w:szCs w:val="21"/>
          <w:highlight w:val="none"/>
          <w:lang w:val="en-US" w:eastAsia="zh-CN"/>
        </w:rPr>
        <w:t xml:space="preserve">四</w:t>
      </w:r>
      <w:r>
        <w:rPr>
          <w:rFonts w:hint="eastAsia" w:ascii="仿宋" w:hAnsi="仿宋" w:eastAsia="仿宋" w:cs="仿宋"/>
          <w:b/>
          <w:bCs w:val="0"/>
          <w:i w:val="0"/>
          <w:iCs w:val="0"/>
          <w:color w:val="000000"/>
          <w:sz w:val="21"/>
          <w:szCs w:val="21"/>
          <w:highlight w:val="none"/>
        </w:rPr>
        <w:t xml:space="preserve">）用餐标准费用组成</w:t>
      </w:r>
      <w:bookmarkEnd w:id="796"/>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本项目用餐标准费用为固定包干</w:t>
      </w:r>
      <w:r>
        <w:rPr>
          <w:rFonts w:hint="eastAsia" w:ascii="仿宋" w:hAnsi="仿宋" w:eastAsia="仿宋" w:cs="仿宋"/>
          <w:b/>
          <w:bCs w:val="0"/>
          <w:i w:val="0"/>
          <w:iCs w:val="0"/>
          <w:color w:val="000000"/>
          <w:sz w:val="21"/>
          <w:szCs w:val="21"/>
          <w:highlight w:val="none"/>
          <w:lang w:val="en-US" w:eastAsia="zh-CN"/>
        </w:rPr>
        <w:t xml:space="preserve">单</w:t>
      </w:r>
      <w:r>
        <w:rPr>
          <w:rFonts w:hint="eastAsia" w:ascii="仿宋" w:hAnsi="仿宋" w:eastAsia="仿宋" w:cs="仿宋"/>
          <w:b/>
          <w:bCs w:val="0"/>
          <w:i w:val="0"/>
          <w:iCs w:val="0"/>
          <w:color w:val="000000"/>
          <w:sz w:val="21"/>
          <w:szCs w:val="21"/>
          <w:highlight w:val="none"/>
        </w:rPr>
        <w:t xml:space="preserve">价</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rPr>
        <w:t xml:space="preserve">用餐标准费用</w:t>
      </w:r>
      <w:r>
        <w:rPr>
          <w:rFonts w:hint="eastAsia" w:ascii="仿宋" w:hAnsi="仿宋" w:eastAsia="仿宋" w:cs="仿宋"/>
          <w:b/>
          <w:bCs w:val="0"/>
          <w:i w:val="0"/>
          <w:iCs w:val="0"/>
          <w:color w:val="000000"/>
          <w:sz w:val="21"/>
          <w:szCs w:val="21"/>
          <w:highlight w:val="none"/>
          <w:lang w:val="en-US" w:eastAsia="zh-CN"/>
        </w:rPr>
        <w:t xml:space="preserve">单价</w:t>
      </w:r>
      <w:r>
        <w:rPr>
          <w:rFonts w:hint="eastAsia" w:ascii="仿宋" w:hAnsi="仿宋" w:eastAsia="仿宋" w:cs="仿宋"/>
          <w:b/>
          <w:bCs w:val="0"/>
          <w:i w:val="0"/>
          <w:iCs w:val="0"/>
          <w:color w:val="000000"/>
          <w:sz w:val="21"/>
          <w:szCs w:val="21"/>
          <w:highlight w:val="none"/>
        </w:rPr>
        <w:t xml:space="preserve">已包含完成本项目用餐服务所涉及的全部费用，无任何隐形费用，具体包括但不限于：</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lang w:eastAsia="zh-CN"/>
        </w:rPr>
      </w:pPr>
      <w:r>
        <w:rPr>
          <w:rFonts w:hint="eastAsia" w:ascii="仿宋" w:hAnsi="仿宋" w:eastAsia="仿宋" w:cs="仿宋"/>
          <w:b/>
          <w:bCs w:val="0"/>
          <w:i w:val="0"/>
          <w:iCs w:val="0"/>
          <w:color w:val="000000"/>
          <w:sz w:val="21"/>
          <w:szCs w:val="21"/>
          <w:highlight w:val="none"/>
        </w:rPr>
        <w:t xml:space="preserve">1.人力成本：食堂所有工作人员的工资、奖金、福利、法定节假日加班费、社会保险（五险）、人身意外险/公众责任险等全部费用</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lang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lang w:eastAsia="zh-CN"/>
        </w:rPr>
      </w:pPr>
      <w:r>
        <w:rPr>
          <w:rFonts w:hint="eastAsia" w:ascii="仿宋" w:hAnsi="仿宋" w:eastAsia="仿宋" w:cs="仿宋"/>
          <w:b/>
          <w:bCs w:val="0"/>
          <w:i w:val="0"/>
          <w:iCs w:val="0"/>
          <w:color w:val="000000"/>
          <w:sz w:val="21"/>
          <w:szCs w:val="21"/>
          <w:highlight w:val="none"/>
        </w:rPr>
        <w:t xml:space="preserve">2.食材及辅料成本：食材、调味品、食用油、粮食、蔬菜、肉类、水产等原材料，以及洗涤用品、消毒用品、一次性餐具等各类辅材费用</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lang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lang w:eastAsia="zh-CN"/>
        </w:rPr>
      </w:pPr>
      <w:r>
        <w:rPr>
          <w:rFonts w:hint="eastAsia" w:ascii="仿宋" w:hAnsi="仿宋" w:eastAsia="仿宋" w:cs="仿宋"/>
          <w:b/>
          <w:bCs w:val="0"/>
          <w:i w:val="0"/>
          <w:iCs w:val="0"/>
          <w:color w:val="000000"/>
          <w:sz w:val="21"/>
          <w:szCs w:val="21"/>
          <w:highlight w:val="none"/>
        </w:rPr>
        <w:t xml:space="preserve">3.运营及管理成本：食堂水电费用、燃气费用（如有）、设施设备日常维护维修费用、油烟管道及净化器清洗费用、各类检验检测费用、管道疏通费用等</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lang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lang w:eastAsia="zh-CN"/>
        </w:rPr>
      </w:pPr>
      <w:r>
        <w:rPr>
          <w:rFonts w:hint="eastAsia" w:ascii="仿宋" w:hAnsi="仿宋" w:eastAsia="仿宋" w:cs="仿宋"/>
          <w:b/>
          <w:bCs w:val="0"/>
          <w:i w:val="0"/>
          <w:iCs w:val="0"/>
          <w:color w:val="000000"/>
          <w:sz w:val="21"/>
          <w:szCs w:val="21"/>
          <w:highlight w:val="none"/>
        </w:rPr>
        <w:t xml:space="preserve">4.合规及风险成本：办理经营所需证照的相关费用、环保处置费用、应对各类检查的相关费用，以及食品安全、安全生产、劳资纠纷等各类风险产生的费用</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lang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5.其他费用：菜品留样、台账记录、电子化宣传、食堂环境卫生整治等相关费用，以及供应商为完成本项目服务所需的其他全部费用。</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采购文件明确包含的费用、风险费、政策性文件规定的各项应有费用，以及完成本采购需求规定服务内容所涉及的一切相关费用，均由供应商承担，采购人不再支付任何额外费用；采购文件未列明但供应商认为必需的费用，亦包含在用餐标准内，采购人不另行增加费用。各类风险和政策性调整等风险已涵盖在用餐标准中，除合同约定调整外，最终结算时一律不调整用餐标准。</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0"/>
      </w:pPr>
      <w:r/>
      <w:bookmarkStart w:id="797" w:name="_Toc15460"/>
      <w:r/>
      <w:bookmarkStart w:id="798" w:name="heading_5"/>
      <w:r>
        <w:rPr>
          <w:rFonts w:hint="eastAsia" w:ascii="仿宋" w:hAnsi="仿宋" w:eastAsia="仿宋" w:cs="仿宋"/>
          <w:b/>
          <w:color w:val="000000"/>
          <w:sz w:val="21"/>
          <w:szCs w:val="21"/>
          <w:highlight w:val="none"/>
          <w:lang w:val="en-US" w:eastAsia="zh-CN"/>
        </w:rPr>
        <w:t xml:space="preserve">B</w:t>
      </w:r>
      <w:r>
        <w:rPr>
          <w:rFonts w:hint="eastAsia" w:ascii="仿宋" w:hAnsi="仿宋" w:eastAsia="仿宋" w:cs="仿宋"/>
          <w:b/>
          <w:color w:val="000000"/>
          <w:sz w:val="21"/>
          <w:szCs w:val="21"/>
          <w:highlight w:val="none"/>
        </w:rPr>
        <w:t xml:space="preserve">、服务要求</w:t>
      </w:r>
      <w:bookmarkEnd w:id="797"/>
      <w:r/>
      <w:bookmarkEnd w:id="798"/>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bookmarkStart w:id="799" w:name="heading_6"/>
      <w:r>
        <w:rPr>
          <w:rFonts w:hint="eastAsia" w:ascii="仿宋" w:hAnsi="仿宋" w:eastAsia="仿宋" w:cs="仿宋"/>
          <w:b/>
          <w:color w:val="000000"/>
          <w:sz w:val="21"/>
          <w:szCs w:val="21"/>
          <w:highlight w:val="none"/>
        </w:rPr>
        <w:t xml:space="preserve">（一）供餐时间要求</w:t>
      </w:r>
      <w:bookmarkEnd w:id="799"/>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1.早餐：7:00-7:30</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2.中餐：10:45-12:00</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3.晚餐：16:45-17:15</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需严格遵守上述供餐时间，不得擅自提前；确保每餐饭菜在规定供餐时间前10分钟准备就绪，菜品温度符合规范（热菜温度≥60℃，汤品温度≥70℃）；因特殊情况（如食材采购延误、设备故障等）需调整供餐时间的，供应商需提前30分钟书面报备采购人相关负责人，经同意后方可调整，并及时通知就餐职工，避免影响职工就餐。</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bookmarkStart w:id="800" w:name="heading_7"/>
      <w:r>
        <w:rPr>
          <w:rFonts w:hint="eastAsia" w:ascii="仿宋" w:hAnsi="仿宋" w:eastAsia="仿宋" w:cs="仿宋"/>
          <w:b/>
          <w:color w:val="000000"/>
          <w:sz w:val="21"/>
          <w:szCs w:val="21"/>
          <w:highlight w:val="none"/>
        </w:rPr>
        <w:t xml:space="preserve">（二）人员要求</w:t>
      </w:r>
      <w:bookmarkEnd w:id="800"/>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1.用工管理：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成交供应商拥有依法自主用工权，用工安全及相关风险全部由供应商自负；供应商自行安排食堂工作人员，负责员工工资、福利等全部费用，</w:t>
      </w:r>
      <w:r>
        <w:rPr>
          <w:rFonts w:hint="eastAsia" w:ascii="仿宋" w:hAnsi="仿宋" w:eastAsia="仿宋" w:cs="仿宋"/>
          <w:color w:val="000000"/>
          <w:sz w:val="21"/>
          <w:szCs w:val="21"/>
          <w:highlight w:val="none"/>
          <w:lang w:val="en-US" w:eastAsia="zh-CN"/>
        </w:rPr>
        <w:t xml:space="preserve">供应商应严格按照《劳动法》《劳动合同法》等相关法律法规的规定，规范用工并按时足额支付职工薪酬，确保符合属地最低工资标准和社会保险缴费等要求，以保障用工合法性、保护员工合法权益。</w:t>
      </w:r>
      <w:r>
        <w:rPr>
          <w:rFonts w:hint="eastAsia" w:ascii="仿宋" w:hAnsi="仿宋" w:eastAsia="仿宋" w:cs="仿宋"/>
          <w:color w:val="000000"/>
          <w:sz w:val="21"/>
          <w:szCs w:val="21"/>
          <w:highlight w:val="none"/>
        </w:rPr>
        <w:t xml:space="preserve">必须为员工购买人身意外险或公众责任险等商业保险，否则一切后果由供应商自行承担。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服务期内，采购人支付的用餐标准费用不予调增。供应商员工因社保、工资、福利等问题产生的纠纷和发生职业暴露、工伤、疾病乃至死亡的一切责任及费用均由成交供应商全部负责，采购人不承担与此相关的责任。</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供应商需保证服务期间员工队伍的稳定，不得因用工问题影响合同履行。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供应商追偿。</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2.健康要求：所有饮食从业人员必须按照《食品安全法》规定，每年进行健康检查，取得有效健康证后方可持证上岗，健康证需定期复核并公示。</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项目负责人：需具备食品营养相关专业、行政管理专业背景，或具有食品相关行业从业经验，能够全面负责食堂运营管理工作。项目负责人需全职在岗，不得兼任其他项目工作，如需请假，需提前书面报备采购人，指定临时负责人并做好工作交接，确保食堂运营不受影响。</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4.工作人员</w:t>
      </w:r>
      <w:r>
        <w:rPr>
          <w:rFonts w:hint="eastAsia" w:ascii="仿宋" w:hAnsi="仿宋" w:eastAsia="仿宋" w:cs="仿宋"/>
          <w:color w:val="000000"/>
          <w:sz w:val="21"/>
          <w:szCs w:val="21"/>
          <w:highlight w:val="none"/>
          <w:lang w:val="en-US" w:eastAsia="zh-CN"/>
        </w:rPr>
        <w:t xml:space="preserve">资历</w:t>
      </w:r>
      <w:r>
        <w:rPr>
          <w:rFonts w:hint="eastAsia" w:ascii="仿宋" w:hAnsi="仿宋" w:eastAsia="仿宋" w:cs="仿宋"/>
          <w:color w:val="000000"/>
          <w:sz w:val="21"/>
          <w:szCs w:val="21"/>
          <w:highlight w:val="none"/>
        </w:rPr>
        <w:t xml:space="preserve">：厨师需熟练掌握主要菜系制作、主要面点制作及相关</w:t>
      </w:r>
      <w:r>
        <w:rPr>
          <w:rFonts w:hint="eastAsia" w:ascii="仿宋" w:hAnsi="仿宋" w:eastAsia="仿宋" w:cs="仿宋"/>
          <w:color w:val="000000"/>
          <w:sz w:val="21"/>
          <w:szCs w:val="21"/>
          <w:highlight w:val="none"/>
          <w:lang w:val="en-US" w:eastAsia="zh-CN"/>
        </w:rPr>
        <w:t xml:space="preserve">食材营养</w:t>
      </w:r>
      <w:r>
        <w:rPr>
          <w:rFonts w:hint="eastAsia" w:ascii="仿宋" w:hAnsi="仿宋" w:eastAsia="仿宋" w:cs="仿宋"/>
          <w:color w:val="000000"/>
          <w:sz w:val="21"/>
          <w:szCs w:val="21"/>
          <w:highlight w:val="none"/>
        </w:rPr>
        <w:t xml:space="preserve">配制方法；其他服务人员需具备相应工作经验，持证上岗；</w:t>
      </w:r>
      <w:r>
        <w:rPr>
          <w:rFonts w:hint="eastAsia" w:ascii="仿宋" w:hAnsi="仿宋" w:eastAsia="仿宋" w:cs="仿宋"/>
          <w:color w:val="000000"/>
          <w:sz w:val="21"/>
          <w:szCs w:val="21"/>
          <w:highlight w:val="none"/>
          <w:lang w:eastAsia="zh-CN"/>
        </w:rPr>
        <w:t xml:space="preserve">配备卫生安全监督员，专门负责本食堂加工制作过程的卫生和安全监督工作；</w:t>
      </w:r>
      <w:r>
        <w:rPr>
          <w:rFonts w:hint="eastAsia" w:ascii="仿宋" w:hAnsi="仿宋" w:eastAsia="仿宋" w:cs="仿宋"/>
          <w:color w:val="000000"/>
          <w:sz w:val="21"/>
          <w:szCs w:val="21"/>
          <w:highlight w:val="none"/>
        </w:rPr>
        <w:t xml:space="preserve">人员配置需满足实际供餐服务需求，不得影响正常供餐。</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bookmarkStart w:id="801" w:name="heading_8"/>
      <w:r>
        <w:rPr>
          <w:rFonts w:hint="eastAsia" w:ascii="仿宋" w:hAnsi="仿宋" w:eastAsia="仿宋" w:cs="仿宋"/>
          <w:b/>
          <w:color w:val="000000"/>
          <w:sz w:val="21"/>
          <w:szCs w:val="21"/>
          <w:highlight w:val="none"/>
        </w:rPr>
        <w:t xml:space="preserve">（三）食品安全与安全生产要求</w:t>
      </w:r>
      <w:bookmarkEnd w:id="801"/>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1.食品安全管理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建立健全食品安全责任制，成交供应商需与采购人签订安全责任书，严格按照《中华人民共和国食品安全法》《产品质量法》及采购人相关要求组织生产经营，提供安全合格食品；若因供应商原因引发食品安全事故，造成的一切损失及后果均由供应商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（2）建立内部安全监督管理体系，配备专业食品卫生质量监督员，所有员工需与供应商签订卫生安全责任书，将卫生安全责任落实到个人。</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（3）建立食品安全预警制度，所有相关制度需张贴上墙；出现食品安全相关问题时，需及时向采购人和相关部门报告，并采取有效急救措施，最大限度降低损失。</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严格食品安全管理，贯彻食品安全管理规定，遵循食品安全管理要求。做好蔬菜农药残留检测及记录，不得不检或漏检，不得不记录或记录不全；做好食品留样及记录工作，不得不留或漏留，不得不记录或记录不全；按规定使用调味品及添加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严格执行食品留样制度，</w:t>
      </w:r>
      <w:r>
        <w:rPr>
          <w:rFonts w:hint="eastAsia" w:ascii="仿宋" w:hAnsi="仿宋" w:eastAsia="仿宋" w:cs="仿宋"/>
          <w:color w:val="000000"/>
          <w:sz w:val="21"/>
          <w:szCs w:val="21"/>
          <w:highlight w:val="none"/>
          <w:lang w:eastAsia="zh-CN"/>
        </w:rPr>
        <w:t xml:space="preserve">按食堂安全卫生管理要求，做好每天的食品留样和蔬菜有机磷检测，并做好台帐登记和管理工作。</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2.安全生产管理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加强安全生产教育培训，杜绝安全隐患；做好水电管理，落实相应安全生产措施，严守设备操作流程；生熟食品及加工用具分类放置，防止交叉污染；无关人员严禁进入厨房及保管室；易燃易爆物品按规定存放，工作人员离开厨房前，需妥善放置各类食品，关好门窗，检查电源开关、设备、炉灶等，做好防火、防盗、防毒工作，杜绝意外事故发生。</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（2）严格遵守《安全生产法》相关规定，若发生重大安全事故、设备设施损坏、人身事故，一切后果由供应商承担。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（3）每年组织开展停电停水、食物中毒、消防演练等应急预案培训，并做好完整台账记录。</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4）服务期间，供应商对员工的安全负责，如因安全作业或安全预防措施不到位，造成的一切安全责任由供应商承担，与采购人无关。</w:t>
      </w:r>
      <w:r>
        <w:rPr>
          <w:rFonts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bookmarkStart w:id="802" w:name="heading_9"/>
      <w:r>
        <w:rPr>
          <w:rFonts w:hint="eastAsia" w:ascii="仿宋" w:hAnsi="仿宋" w:eastAsia="仿宋" w:cs="仿宋"/>
          <w:b/>
          <w:color w:val="000000"/>
          <w:sz w:val="21"/>
          <w:szCs w:val="21"/>
          <w:highlight w:val="none"/>
        </w:rPr>
        <w:t xml:space="preserve">（四）经营管理要求</w:t>
      </w:r>
      <w:bookmarkEnd w:id="802"/>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1.制度建设：成交供应商需在开展经营后1个月内，</w:t>
      </w:r>
      <w:r>
        <w:rPr>
          <w:rFonts w:hint="eastAsia" w:ascii="仿宋" w:hAnsi="仿宋" w:eastAsia="仿宋" w:cs="仿宋"/>
          <w:color w:val="000000"/>
          <w:sz w:val="21"/>
          <w:szCs w:val="21"/>
          <w:highlight w:val="none"/>
          <w:lang w:eastAsia="zh-CN"/>
        </w:rPr>
        <w:t xml:space="preserve">建立健全各类餐饮卫生管理制度</w:t>
      </w:r>
      <w:r>
        <w:rPr>
          <w:rFonts w:hint="eastAsia" w:ascii="仿宋" w:hAnsi="仿宋" w:eastAsia="仿宋" w:cs="仿宋"/>
          <w:color w:val="000000"/>
          <w:sz w:val="21"/>
          <w:szCs w:val="21"/>
          <w:highlight w:val="none"/>
        </w:rPr>
        <w:t xml:space="preserve">、安全操作规程、各环节岗位责任制等管理制度，并严格执行。</w:t>
      </w:r>
      <w:r>
        <w:rPr>
          <w:rFonts w:hint="eastAsia" w:ascii="仿宋" w:hAnsi="仿宋" w:eastAsia="仿宋" w:cs="仿宋"/>
          <w:color w:val="000000"/>
          <w:sz w:val="21"/>
          <w:szCs w:val="21"/>
          <w:highlight w:val="none"/>
          <w:lang w:eastAsia="zh-CN"/>
        </w:rPr>
        <w:t xml:space="preserve">加强从业人员的培训与管理，严把员工素质关，做到管理规范化、服务标准化，杜绝任何食品安全卫生责任事故的发生。</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2.成本与价格管理：供应商需遵循双方共同确立的“利润率指导价格”原则，为医护人员提供大众餐饮、特色餐饮等服务，为少量病患提供病员餐饮等服务。</w:t>
      </w:r>
      <w:r>
        <w:rPr>
          <w:rFonts w:hint="eastAsia" w:ascii="仿宋" w:hAnsi="仿宋" w:eastAsia="仿宋" w:cs="仿宋"/>
          <w:color w:val="000000"/>
          <w:sz w:val="21"/>
          <w:szCs w:val="21"/>
          <w:highlight w:val="none"/>
          <w:lang w:val="en-US" w:eastAsia="zh-CN"/>
        </w:rPr>
        <w:t xml:space="preserve">厨房工程类的非成交供应商责任所造成的维修费用由采购人协商解决。</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3.费用承担：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（1）食堂运营期间，厨房设备类、工程类维修费、各项检验检测费、油烟管道和油烟分离器清洗费、油烟处置费、管道疏通费等，均由</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供应商承担（不可抗力引起的损坏除外）。</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除现有餐具外，合同履行期限内</w:t>
      </w:r>
      <w:r>
        <w:rPr>
          <w:rFonts w:hint="eastAsia" w:ascii="仿宋" w:hAnsi="仿宋" w:eastAsia="仿宋" w:cs="仿宋"/>
          <w:color w:val="000000"/>
          <w:sz w:val="21"/>
          <w:szCs w:val="21"/>
          <w:highlight w:val="none"/>
        </w:rPr>
        <w:t xml:space="preserve">食堂用餐餐具、洗涤用品、卫生用品等所有易耗品，由</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供应商提供并承担相关费用。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（3）食堂工作人员的招聘、管理、工资、福利、法定节假日加班费等，由</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val="en-US" w:eastAsia="zh-CN"/>
        </w:rPr>
        <w:t xml:space="preserve">合同履行期限内</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满足市场监督管理</w:t>
      </w:r>
      <w:r>
        <w:rPr>
          <w:rFonts w:hint="eastAsia" w:ascii="仿宋" w:hAnsi="仿宋" w:eastAsia="仿宋" w:cs="仿宋"/>
          <w:color w:val="000000"/>
          <w:sz w:val="21"/>
          <w:szCs w:val="21"/>
          <w:highlight w:val="none"/>
        </w:rPr>
        <w:t xml:space="preserve">、卫生、</w:t>
      </w:r>
      <w:r>
        <w:rPr>
          <w:rFonts w:hint="eastAsia" w:ascii="仿宋" w:hAnsi="仿宋" w:eastAsia="仿宋" w:cs="仿宋"/>
          <w:color w:val="000000"/>
          <w:sz w:val="21"/>
          <w:szCs w:val="21"/>
          <w:highlight w:val="none"/>
          <w:lang w:val="en-US" w:eastAsia="zh-CN"/>
        </w:rPr>
        <w:t xml:space="preserve">安全、</w:t>
      </w:r>
      <w:r>
        <w:rPr>
          <w:rFonts w:hint="eastAsia" w:ascii="仿宋" w:hAnsi="仿宋" w:eastAsia="仿宋" w:cs="仿宋"/>
          <w:color w:val="000000"/>
          <w:sz w:val="21"/>
          <w:szCs w:val="21"/>
          <w:highlight w:val="none"/>
        </w:rPr>
        <w:t xml:space="preserve">税务等院外行政管理部门</w:t>
      </w:r>
      <w:r>
        <w:rPr>
          <w:rFonts w:hint="eastAsia" w:ascii="仿宋" w:hAnsi="仿宋" w:eastAsia="仿宋" w:cs="仿宋"/>
          <w:color w:val="000000"/>
          <w:sz w:val="21"/>
          <w:szCs w:val="21"/>
          <w:highlight w:val="none"/>
          <w:lang w:val="en-US" w:eastAsia="zh-CN"/>
        </w:rPr>
        <w:t xml:space="preserve">合规</w:t>
      </w:r>
      <w:r>
        <w:rPr>
          <w:rFonts w:hint="eastAsia" w:ascii="仿宋" w:hAnsi="仿宋" w:eastAsia="仿宋" w:cs="仿宋"/>
          <w:color w:val="000000"/>
          <w:sz w:val="21"/>
          <w:szCs w:val="21"/>
          <w:highlight w:val="none"/>
        </w:rPr>
        <w:t xml:space="preserve">要求产生的相关费用，由</w:t>
      </w:r>
      <w:r>
        <w:rPr>
          <w:rFonts w:hint="eastAsia" w:ascii="仿宋" w:hAnsi="仿宋" w:eastAsia="仿宋" w:cs="仿宋"/>
          <w:color w:val="000000"/>
          <w:sz w:val="21"/>
          <w:szCs w:val="21"/>
          <w:highlight w:val="none"/>
          <w:lang w:val="en-US" w:eastAsia="zh-CN"/>
        </w:rPr>
        <w:t xml:space="preserve">成交供应商</w:t>
      </w:r>
      <w:r>
        <w:rPr>
          <w:rFonts w:hint="eastAsia" w:ascii="仿宋" w:hAnsi="仿宋" w:eastAsia="仿宋" w:cs="仿宋"/>
          <w:color w:val="000000"/>
          <w:sz w:val="21"/>
          <w:szCs w:val="21"/>
          <w:highlight w:val="none"/>
        </w:rPr>
        <w:t xml:space="preserve">自行承担。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（5）油烟管道和净化器清洗费用由</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供应商承担，供应商需与有资质的公司签订清洗合同，每季度清理油烟管道内外部一次，全年共四次，并留存清洗记录备查。</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（6）供应商需承担运营期间的部分环保责任，因运营等人为原因引起的环保责任和环保罚款，全部由</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（7）成交供应商需按市场监督管理局要求办理相关经营证照</w:t>
      </w:r>
      <w:r>
        <w:rPr>
          <w:rFonts w:hint="eastAsia" w:ascii="仿宋" w:hAnsi="仿宋" w:eastAsia="仿宋" w:cs="仿宋"/>
          <w:color w:val="000000"/>
          <w:sz w:val="21"/>
          <w:szCs w:val="21"/>
          <w:highlight w:val="none"/>
          <w:lang w:val="en-US" w:eastAsia="zh-CN"/>
        </w:rPr>
        <w:t xml:space="preserve">并承担</w:t>
      </w:r>
      <w:r>
        <w:rPr>
          <w:rFonts w:hint="eastAsia" w:ascii="仿宋" w:hAnsi="仿宋" w:eastAsia="仿宋" w:cs="仿宋"/>
          <w:color w:val="000000"/>
          <w:sz w:val="21"/>
          <w:szCs w:val="21"/>
          <w:highlight w:val="none"/>
        </w:rPr>
        <w:t xml:space="preserve">相关费用。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8）就餐环境文化宣传费用</w:t>
      </w:r>
      <w:r>
        <w:rPr>
          <w:rFonts w:hint="eastAsia" w:ascii="仿宋" w:hAnsi="仿宋" w:eastAsia="仿宋" w:cs="仿宋"/>
          <w:color w:val="000000"/>
          <w:sz w:val="21"/>
          <w:szCs w:val="21"/>
          <w:highlight w:val="none"/>
        </w:rPr>
        <w:t xml:space="preserve">由</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4.卫生要求：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厨房环境干净整洁，工作区无杂物，物品按规定归类定位放置；</w:t>
      </w:r>
      <w:r>
        <w:rPr>
          <w:rFonts w:hint="eastAsia" w:ascii="仿宋" w:hAnsi="仿宋" w:eastAsia="仿宋" w:cs="仿宋"/>
          <w:color w:val="000000"/>
          <w:sz w:val="21"/>
          <w:szCs w:val="21"/>
          <w:highlight w:val="none"/>
        </w:rPr>
        <w:t xml:space="preserve">餐后及时对厨具、餐具进行清洗、消毒，并分类放在固定位置；对厨房、餐厅进行全面打扫、冲洗；</w:t>
      </w:r>
      <w:r>
        <w:rPr>
          <w:rFonts w:hint="eastAsia" w:ascii="仿宋" w:hAnsi="仿宋" w:eastAsia="仿宋" w:cs="仿宋"/>
          <w:color w:val="000000"/>
          <w:sz w:val="21"/>
          <w:szCs w:val="21"/>
          <w:highlight w:val="none"/>
          <w:lang w:val="en-US" w:eastAsia="zh-CN"/>
        </w:rPr>
        <w:t xml:space="preserve">泔水、垃圾等废弃物应按规定存放；</w:t>
      </w:r>
      <w:r>
        <w:rPr>
          <w:rFonts w:hint="eastAsia" w:ascii="仿宋" w:hAnsi="仿宋" w:eastAsia="仿宋" w:cs="仿宋"/>
          <w:color w:val="000000"/>
          <w:sz w:val="21"/>
          <w:szCs w:val="21"/>
          <w:highlight w:val="none"/>
        </w:rPr>
        <w:t xml:space="preserve">对剩余饭菜按规定妥善处理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当餐及时清除，无明显异味。</w:t>
      </w:r>
      <w:r>
        <w:rPr>
          <w:rFonts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（2）每日对厨具、餐具进行清洗、消毒，对厨房、餐厅及周边环境进行保洁；每周开展一次大扫除。</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（3）每日进行下水道清理，因供应商操作原因引起的管道堵塞，由供应商负责疏通并承担相关费用。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4）食堂环境卫生干净明亮、整洁有序，大厅天花板、装饰物、墙壁及门窗无污迹，桌椅无污迹油迹，服务台面、垃圾桶表面、服务台玻璃表面无污迹油迹；食堂内无蚊蝇、蟑螂、老鼠等。</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5.设施设备管理：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成交供应商需对采购人提供的设施设备进行日常维护、维修，费用由供应商自行承担；如涉及人为损坏，需照价赔偿；如因正常损耗或确需添置餐具、厨房设备设施等，需报采购人确认同意后，由供应商自费添置。</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（2）食堂如需新增炉灶自动熄火保护装置，相关费用由供应商承担。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（3）按照医院评审规范和要求，接受涉及食堂方面的相关条例考核和检查，根据采购人要求规范台账记录；增加电子化宣传内容，根据采购人要求及食堂实际经营需要，添置现代化、时尚、便捷的设施设备。</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bookmarkStart w:id="803" w:name="heading_10"/>
      <w:r>
        <w:rPr>
          <w:rFonts w:hint="eastAsia" w:ascii="仿宋" w:hAnsi="仿宋" w:eastAsia="仿宋" w:cs="仿宋"/>
          <w:b/>
          <w:color w:val="000000"/>
          <w:sz w:val="21"/>
          <w:szCs w:val="21"/>
          <w:highlight w:val="none"/>
        </w:rPr>
        <w:t xml:space="preserve">（五）采购与加工流程要求</w:t>
      </w:r>
      <w:bookmarkEnd w:id="803"/>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供应商应</w:t>
      </w:r>
      <w:r>
        <w:rPr>
          <w:rFonts w:hint="eastAsia" w:ascii="仿宋" w:hAnsi="仿宋" w:eastAsia="仿宋" w:cs="仿宋"/>
          <w:color w:val="000000"/>
          <w:sz w:val="21"/>
          <w:szCs w:val="21"/>
          <w:highlight w:val="none"/>
        </w:rPr>
        <w:t xml:space="preserve">严格把控食材质量</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强化原材料质量控制；加强食品保存管理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1.菜单制订：</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供应商管理人员需结合市场、季节、营养及采购人要求等因素，制定每周食谱及菜单，并报送采购人相关部门备案，严格按照备案食谱供应菜品。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2.食材采购：</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（1）食材采购管理：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① 供应商自主采购食材，采购人有权对采购渠道、食材质量进行监督、检查、抽查；供应商需在合同签订后10个工作日内，提交主要食材供应商名单（含供应商名称、资质证明、联系方式、合作协议等），</w:t>
      </w:r>
      <w:r>
        <w:rPr>
          <w:rFonts w:hint="eastAsia" w:ascii="仿宋" w:hAnsi="仿宋" w:eastAsia="仿宋" w:cs="仿宋"/>
          <w:color w:val="000000"/>
          <w:sz w:val="21"/>
          <w:szCs w:val="21"/>
          <w:highlight w:val="none"/>
          <w:lang w:val="en-US" w:eastAsia="zh-CN"/>
        </w:rPr>
        <w:t xml:space="preserve">向</w:t>
      </w:r>
      <w:r>
        <w:rPr>
          <w:rFonts w:hint="eastAsia" w:ascii="仿宋" w:hAnsi="仿宋" w:eastAsia="仿宋" w:cs="仿宋"/>
          <w:color w:val="000000"/>
          <w:sz w:val="21"/>
          <w:szCs w:val="21"/>
          <w:highlight w:val="none"/>
        </w:rPr>
        <w:t xml:space="preserve">采购人</w:t>
      </w:r>
      <w:r>
        <w:rPr>
          <w:rFonts w:hint="eastAsia" w:ascii="仿宋" w:hAnsi="仿宋" w:eastAsia="仿宋" w:cs="仿宋"/>
          <w:color w:val="000000"/>
          <w:sz w:val="21"/>
          <w:szCs w:val="21"/>
          <w:highlight w:val="none"/>
          <w:lang w:val="en-US" w:eastAsia="zh-CN"/>
        </w:rPr>
        <w:t xml:space="preserve">报备</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② 食材采购需具有可追溯性，渠道合法、安全，必须从持有食品经营许可证的经营单位、大型连锁超市、正规食蔬基地、原厂家或授权经销商等正规渠道采购，严禁从无资质、无保障的渠道采购食材。</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③ 采购时需按国家规定索取食材检验合格证明、进货凭证（发票、收据等），建立完整的食材采购台账，详细记录食材名称、采购日期、采购数量、供应商名称、联系方式、检验合格证明编号等信息，台账需留存不少于2年，供采购人及相关监管部门检查。</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（2）食材质量要求：蔬菜新鲜、色泽鲜亮、形状完好；肉类有光泽、色红均匀、肉质紧实、不黏手、无异味；鱼虾类色泽正常、无红变，甲壳光泽新鲜；尽量少用半成品。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禁止采购以下食品：①地沟油、工业盐、腐败变质、油脂酸败、霉变、生虫、污秽不洁、混有异物或者其他感官性状异常，含有毒有害物质或者被有毒、有害物质污染，可能对人体健康有害的食品；②未经兽医卫生检验或者检验不合格的肉类及其制品；③超过保质期限或不符合食品标签规定的定型包装食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3.库房管理：严格执行库房管理制度和索证索票制度，做好台账登记，采购人有权对台账进行随机检查；库房物品需按相关要求分类存放，做到隔墙离地、保持清洁。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4.菜品加工：严格按照食品安全操作规范进行菜品加工，加工后的饭菜需做好保热、保洁工作，确保菜品温度和质量。</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精心组织厨房生产，严控菜品质量，菜品主辅料配比、调味品配比科学合理，菜品成品色、香、味、型俱佳，荤素品种搭配合理；保证饭菜供应，每天制作包子、水饺和馄饨等点心数量不得低于规定标准，点心成品造型美观、馅心口味合适，服务时间内保证饭菜供应充足，不得出现断供现象。</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（2）严格控制菜品单次烹饪数量，蔬菜类菜品一次烹饪完成，衔接时间控制合理，不得出现菜品出锅时间过长、菜品不新鲜或明显浪费现象；注重现场菜品保温管理，及时按规定加热，不得出现冷饭冷菜现象。</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bookmarkStart w:id="804" w:name="heading_11"/>
      <w:r>
        <w:rPr>
          <w:rFonts w:hint="eastAsia" w:ascii="仿宋" w:hAnsi="仿宋" w:eastAsia="仿宋" w:cs="仿宋"/>
          <w:b/>
          <w:color w:val="000000"/>
          <w:sz w:val="21"/>
          <w:szCs w:val="21"/>
          <w:highlight w:val="none"/>
        </w:rPr>
        <w:t xml:space="preserve">（六）资产管理要求</w:t>
      </w:r>
      <w:bookmarkEnd w:id="804"/>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1.采购人提供的资产，经供应商现场验收确认后，双方办理合同期间资产使用移交手续并签字确认，各持一份；严格按照国有资产管理制度进行监管。</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合同履行期间，供应商需正常合理使用采购人提供的资产，不得转让、转卖、出借、改拆，保证承包经营结束时资产移交验收完好、合格，并留存定期维修保养记录；对非正常损坏的资产，供应商需予以修复或按建造安装价、采购价赔偿。</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3.供应商需在规定区域内作业，不得随意改变各功能区用途，不得扩大经营场所，不得随意搭盖；未经采购人同意，不得对食堂供水、供电线路进行改造，不得改变房屋结构及装饰。</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4.合同履行期内，供应商自行投资购置的辅助设备，在退出承包经营时，由供应商自行搬走，不结算残余值，现场需恢复原样。</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bookmarkStart w:id="805" w:name="heading_12"/>
      <w:r>
        <w:rPr>
          <w:rFonts w:hint="eastAsia" w:ascii="仿宋" w:hAnsi="仿宋" w:eastAsia="仿宋" w:cs="仿宋"/>
          <w:b/>
          <w:color w:val="000000"/>
          <w:sz w:val="21"/>
          <w:szCs w:val="21"/>
          <w:highlight w:val="none"/>
        </w:rPr>
        <w:t xml:space="preserve">（七）监督与配合要求</w:t>
      </w:r>
      <w:bookmarkEnd w:id="805"/>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由</w:t>
      </w:r>
      <w:r>
        <w:rPr>
          <w:rFonts w:hint="eastAsia" w:ascii="仿宋" w:hAnsi="仿宋" w:eastAsia="仿宋" w:cs="仿宋"/>
          <w:color w:val="000000"/>
          <w:sz w:val="21"/>
          <w:szCs w:val="21"/>
          <w:highlight w:val="none"/>
          <w:lang w:eastAsia="zh-CN"/>
        </w:rPr>
        <w:t xml:space="preserve">成交供应商</w:t>
      </w:r>
      <w:r>
        <w:rPr>
          <w:rFonts w:hint="eastAsia" w:ascii="仿宋" w:hAnsi="仿宋" w:eastAsia="仿宋" w:cs="仿宋"/>
          <w:color w:val="000000"/>
          <w:sz w:val="21"/>
          <w:szCs w:val="21"/>
          <w:highlight w:val="none"/>
        </w:rPr>
        <w:t xml:space="preserve">提供</w:t>
      </w:r>
      <w:r>
        <w:rPr>
          <w:rFonts w:hint="eastAsia" w:ascii="仿宋" w:hAnsi="仿宋" w:eastAsia="仿宋" w:cs="仿宋"/>
          <w:color w:val="000000"/>
          <w:sz w:val="21"/>
          <w:szCs w:val="21"/>
          <w:highlight w:val="none"/>
          <w:lang w:eastAsia="zh-CN"/>
        </w:rPr>
        <w:t xml:space="preserve">餐饮</w:t>
      </w:r>
      <w:r>
        <w:rPr>
          <w:rFonts w:hint="eastAsia" w:ascii="仿宋" w:hAnsi="仿宋" w:eastAsia="仿宋" w:cs="仿宋"/>
          <w:color w:val="000000"/>
          <w:sz w:val="21"/>
          <w:szCs w:val="21"/>
          <w:highlight w:val="none"/>
        </w:rPr>
        <w:t xml:space="preserve">服务，</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提供经营场地，</w:t>
      </w:r>
      <w:r>
        <w:rPr>
          <w:rFonts w:hint="eastAsia" w:ascii="仿宋" w:hAnsi="仿宋" w:eastAsia="仿宋" w:cs="仿宋"/>
          <w:color w:val="000000"/>
          <w:sz w:val="21"/>
          <w:szCs w:val="21"/>
          <w:highlight w:val="none"/>
          <w:lang w:eastAsia="zh-CN"/>
        </w:rPr>
        <w:t xml:space="preserve">成交供应商</w:t>
      </w:r>
      <w:r>
        <w:rPr>
          <w:rFonts w:hint="eastAsia" w:ascii="仿宋" w:hAnsi="仿宋" w:eastAsia="仿宋" w:cs="仿宋"/>
          <w:color w:val="000000"/>
          <w:sz w:val="21"/>
          <w:szCs w:val="21"/>
          <w:highlight w:val="none"/>
        </w:rPr>
        <w:t xml:space="preserve">按本合同约定自行组织经营。委派专业厨房工作人员及管理人员到</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进行专业餐饮管理、经营，为</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提供膳食服务，规范经营。</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相关部门负责监督和指导餐厅经营管理工作。供应商需配合采购人的管理，合法经营，严格遵守采购人的各项规章制度、考核细则，遵纪守法，遵守职业道德，服从采购人的监督管理。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供应商的</w:t>
      </w:r>
      <w:r>
        <w:rPr>
          <w:rFonts w:hint="eastAsia" w:ascii="仿宋" w:hAnsi="仿宋" w:eastAsia="仿宋" w:cs="仿宋"/>
          <w:color w:val="000000"/>
          <w:sz w:val="21"/>
          <w:szCs w:val="21"/>
          <w:highlight w:val="none"/>
        </w:rPr>
        <w:t xml:space="preserve">所有员工必须经过采购人及相关管理部门的入职审核（包括但不限于无犯罪证明、健康体检证明等），未通过审核的员工，采购人有权要求予以更换或辞退。</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接受采购人财务监督，采购人有权查阅食堂账册、营业额等台账，供应商需积极配合，如实提供相关资料。</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.采购人有权建立监管小组（或膳食管理委员会）并制定监管细则，对供应商的原材料采购、菜品品种、价格、成本、饮食产品质量、</w:t>
      </w:r>
      <w:r>
        <w:rPr>
          <w:rFonts w:hint="eastAsia" w:ascii="仿宋" w:hAnsi="仿宋" w:eastAsia="仿宋" w:cs="仿宋"/>
          <w:color w:val="000000"/>
          <w:sz w:val="21"/>
          <w:szCs w:val="21"/>
          <w:highlight w:val="none"/>
          <w:lang w:val="en-US" w:eastAsia="zh-CN"/>
        </w:rPr>
        <w:t xml:space="preserve">安全、</w:t>
      </w:r>
      <w:r>
        <w:rPr>
          <w:rFonts w:hint="eastAsia" w:ascii="仿宋" w:hAnsi="仿宋" w:eastAsia="仿宋" w:cs="仿宋"/>
          <w:color w:val="000000"/>
          <w:sz w:val="21"/>
          <w:szCs w:val="21"/>
          <w:highlight w:val="none"/>
        </w:rPr>
        <w:t xml:space="preserve">卫生要求等进行全过程检查、监督和管理指导</w:t>
      </w:r>
      <w:r>
        <w:rPr>
          <w:rFonts w:hint="eastAsia" w:ascii="仿宋" w:hAnsi="仿宋" w:eastAsia="仿宋" w:cs="仿宋"/>
          <w:color w:val="000000"/>
          <w:sz w:val="21"/>
          <w:szCs w:val="21"/>
          <w:highlight w:val="none"/>
          <w:lang w:eastAsia="zh-CN"/>
        </w:rPr>
        <w:t xml:space="preserve">，对违规行为予以处罚</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5.承包范围内所有设备及水电如发生损坏由成交供应商负责维修确保设备正常,采购人不定期安全生产检查。</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0"/>
      </w:pPr>
      <w:r/>
      <w:bookmarkStart w:id="806" w:name="heading_13"/>
      <w:r/>
      <w:bookmarkStart w:id="807" w:name="_Toc2742"/>
      <w:r>
        <w:rPr>
          <w:rFonts w:hint="eastAsia" w:ascii="仿宋" w:hAnsi="仿宋" w:eastAsia="仿宋" w:cs="仿宋"/>
          <w:b/>
          <w:color w:val="000000"/>
          <w:sz w:val="21"/>
          <w:szCs w:val="21"/>
          <w:highlight w:val="none"/>
          <w:lang w:val="en-US" w:eastAsia="zh-CN"/>
        </w:rPr>
        <w:t xml:space="preserve">D</w:t>
      </w:r>
      <w:r>
        <w:rPr>
          <w:rFonts w:hint="eastAsia" w:ascii="仿宋" w:hAnsi="仿宋" w:eastAsia="仿宋" w:cs="仿宋"/>
          <w:b/>
          <w:color w:val="000000"/>
          <w:sz w:val="21"/>
          <w:szCs w:val="21"/>
          <w:highlight w:val="none"/>
        </w:rPr>
        <w:t xml:space="preserve">、结算方式</w:t>
      </w:r>
      <w:bookmarkEnd w:id="806"/>
      <w:r/>
      <w:bookmarkEnd w:id="807"/>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1.结算周期及流程：双方</w:t>
      </w:r>
      <w:r>
        <w:rPr>
          <w:rFonts w:hint="eastAsia" w:ascii="仿宋" w:hAnsi="仿宋" w:eastAsia="仿宋" w:cs="仿宋"/>
          <w:color w:val="000000"/>
          <w:sz w:val="21"/>
          <w:szCs w:val="21"/>
          <w:highlight w:val="none"/>
          <w:lang w:val="en-US" w:eastAsia="zh-CN"/>
        </w:rPr>
        <w:t xml:space="preserve">在</w:t>
      </w:r>
      <w:r>
        <w:rPr>
          <w:rFonts w:hint="eastAsia" w:ascii="仿宋" w:hAnsi="仿宋" w:eastAsia="仿宋" w:cs="仿宋"/>
          <w:color w:val="000000"/>
          <w:sz w:val="21"/>
          <w:szCs w:val="21"/>
          <w:highlight w:val="none"/>
        </w:rPr>
        <w:t xml:space="preserve">每月10日前（遇节假日顺延），核对上月实际用餐数据（含用餐人数、用餐次数、用餐标准等），确认无误后签署《月度用餐结算确认单》；成交供应商需在签署确认单后3个工作日内，向采购人开具合格的增值税发票，采购人在收到合格发票后支付上月结算费用。满足合同约定支付条件的，自收到发票后10个工作日内支付。因</w:t>
      </w:r>
      <w:r>
        <w:rPr>
          <w:rFonts w:hint="eastAsia" w:ascii="仿宋" w:hAnsi="仿宋" w:eastAsia="仿宋" w:cs="仿宋"/>
          <w:color w:val="000000"/>
          <w:sz w:val="21"/>
          <w:szCs w:val="21"/>
          <w:highlight w:val="none"/>
          <w:lang w:val="en-US" w:eastAsia="zh-CN"/>
        </w:rPr>
        <w:t xml:space="preserve">供应商</w:t>
      </w:r>
      <w:r>
        <w:rPr>
          <w:rFonts w:hint="eastAsia" w:ascii="仿宋" w:hAnsi="仿宋" w:eastAsia="仿宋" w:cs="仿宋"/>
          <w:color w:val="000000"/>
          <w:sz w:val="21"/>
          <w:szCs w:val="21"/>
          <w:highlight w:val="none"/>
        </w:rPr>
        <w:t xml:space="preserve">未及时提供发票及所需材料导致相应后果的，</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不承担任何责任。</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：暂留2个月结算费用作为</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，合同履行期满，且供应商无违约行为、无未结清费用、资产移交合格后，采购人在15个工作日内将</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无息退还供应商。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3.水电费结算：水电费按实际发生额每月结算一次，由采购人代为缴纳</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供应商需在收到</w:t>
      </w:r>
      <w:r>
        <w:rPr>
          <w:rFonts w:hint="eastAsia" w:ascii="仿宋" w:hAnsi="仿宋" w:eastAsia="仿宋" w:cs="仿宋"/>
          <w:color w:val="000000"/>
          <w:sz w:val="21"/>
          <w:szCs w:val="21"/>
          <w:highlight w:val="none"/>
          <w:lang w:val="en-US" w:eastAsia="zh-CN"/>
        </w:rPr>
        <w:t xml:space="preserve">采购人的</w:t>
      </w:r>
      <w:r>
        <w:rPr>
          <w:rFonts w:hint="eastAsia" w:ascii="仿宋" w:hAnsi="仿宋" w:eastAsia="仿宋" w:cs="仿宋"/>
          <w:color w:val="000000"/>
          <w:sz w:val="21"/>
          <w:szCs w:val="21"/>
          <w:highlight w:val="none"/>
        </w:rPr>
        <w:t xml:space="preserve">缴费凭证后3个工作日内，将水电费足额支付给采购人</w:t>
      </w:r>
      <w:r>
        <w:rPr>
          <w:rFonts w:hint="eastAsia" w:ascii="仿宋" w:hAnsi="仿宋" w:eastAsia="仿宋" w:cs="仿宋"/>
          <w:color w:val="000000"/>
          <w:sz w:val="21"/>
          <w:szCs w:val="21"/>
          <w:highlight w:val="none"/>
          <w:lang w:val="en-US" w:eastAsia="zh-CN"/>
        </w:rPr>
        <w:t xml:space="preserve">或从应结算费用中扣除</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bidi="ar-SA"/>
        </w:rPr>
        <w:outlineLvl w:val="0"/>
      </w:pPr>
      <w:r/>
      <w:bookmarkStart w:id="808" w:name="_Toc13457"/>
      <w:r/>
      <w:bookmarkStart w:id="809" w:name="heading_14"/>
      <w:r>
        <w:rPr>
          <w:rFonts w:hint="eastAsia" w:ascii="仿宋" w:hAnsi="仿宋" w:eastAsia="仿宋" w:cs="仿宋"/>
          <w:b/>
          <w:color w:val="000000"/>
          <w:sz w:val="21"/>
          <w:szCs w:val="21"/>
          <w:highlight w:val="none"/>
          <w:lang w:val="en-US" w:eastAsia="zh-CN"/>
        </w:rPr>
        <w:t xml:space="preserve">四</w:t>
      </w:r>
      <w:r>
        <w:rPr>
          <w:rFonts w:hint="eastAsia" w:ascii="仿宋" w:hAnsi="仿宋" w:eastAsia="仿宋" w:cs="仿宋"/>
          <w:b/>
          <w:color w:val="000000"/>
          <w:sz w:val="21"/>
          <w:szCs w:val="21"/>
          <w:highlight w:val="none"/>
        </w:rPr>
        <w:t xml:space="preserve">、</w:t>
      </w:r>
      <w:r>
        <w:rPr>
          <w:rFonts w:hint="eastAsia" w:ascii="仿宋" w:hAnsi="仿宋" w:eastAsia="仿宋" w:cs="仿宋"/>
          <w:b/>
          <w:bCs/>
          <w:color w:val="000000"/>
          <w:sz w:val="21"/>
          <w:szCs w:val="21"/>
          <w:highlight w:val="none"/>
          <w:lang w:val="en-US" w:eastAsia="zh-CN" w:bidi="ar-SA"/>
        </w:rPr>
        <w:t xml:space="preserve">采购标的的其他技术、服务等要求</w:t>
      </w:r>
      <w:bookmarkEnd w:id="808"/>
      <w:r>
        <w:rPr>
          <w:rFonts w:hint="eastAsia" w:ascii="仿宋" w:hAnsi="仿宋" w:eastAsia="仿宋" w:cs="仿宋"/>
          <w:b/>
          <w:bCs/>
          <w:color w:val="000000"/>
          <w:sz w:val="21"/>
          <w:szCs w:val="21"/>
          <w:highlight w:val="none"/>
          <w:lang w:val="en-US" w:eastAsia="zh-CN" w:bidi="ar-SA"/>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0"/>
      </w:pPr>
      <w:r/>
      <w:bookmarkStart w:id="810" w:name="_Toc19837"/>
      <w:r>
        <w:rPr>
          <w:rFonts w:hint="eastAsia" w:ascii="仿宋" w:hAnsi="仿宋" w:eastAsia="仿宋" w:cs="仿宋"/>
          <w:b/>
          <w:bCs/>
          <w:color w:val="000000"/>
          <w:sz w:val="21"/>
          <w:szCs w:val="21"/>
          <w:highlight w:val="none"/>
          <w:lang w:val="en-US" w:eastAsia="zh-CN" w:bidi="ar-SA"/>
        </w:rPr>
        <w:t xml:space="preserve">（一）</w:t>
      </w:r>
      <w:r>
        <w:rPr>
          <w:rFonts w:hint="eastAsia" w:ascii="仿宋" w:hAnsi="仿宋" w:eastAsia="仿宋" w:cs="仿宋"/>
          <w:b/>
          <w:color w:val="000000"/>
          <w:sz w:val="21"/>
          <w:szCs w:val="21"/>
          <w:highlight w:val="none"/>
        </w:rPr>
        <w:t xml:space="preserve">考核要求</w:t>
      </w:r>
      <w:bookmarkEnd w:id="809"/>
      <w:r/>
      <w:bookmarkEnd w:id="810"/>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1.采购人每季度开展食堂服务满意度调查，发放职工测评问卷</w:t>
      </w:r>
      <w:r>
        <w:rPr>
          <w:rFonts w:hint="eastAsia" w:ascii="仿宋" w:hAnsi="仿宋" w:eastAsia="仿宋" w:cs="仿宋"/>
          <w:color w:val="000000"/>
          <w:sz w:val="21"/>
          <w:szCs w:val="21"/>
          <w:highlight w:val="none"/>
          <w:lang w:val="en-US" w:eastAsia="zh-CN"/>
        </w:rPr>
        <w:t xml:space="preserve">不少于</w:t>
      </w:r>
      <w:r>
        <w:rPr>
          <w:rFonts w:hint="eastAsia" w:ascii="仿宋" w:hAnsi="仿宋" w:eastAsia="仿宋" w:cs="仿宋"/>
          <w:color w:val="000000"/>
          <w:sz w:val="21"/>
          <w:szCs w:val="21"/>
          <w:highlight w:val="none"/>
        </w:rPr>
        <w:t xml:space="preserve">30份，服务满意度≥85%为合格。</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2.服务满意度在合格标准基础上，每低1%，罚款1000元。</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3.当服务满意度＜75%时，采购人有权要求成交供应商限期整改，并对其处以5000至10000元的罚金；连续2次满意度低于75%时，采购人有权单方面解除本合同，并不承担由此带来的</w:t>
      </w:r>
      <w:r>
        <w:rPr>
          <w:rFonts w:hint="eastAsia" w:ascii="仿宋" w:hAnsi="仿宋" w:eastAsia="仿宋" w:cs="仿宋"/>
          <w:color w:val="000000"/>
          <w:sz w:val="21"/>
          <w:szCs w:val="21"/>
          <w:highlight w:val="none"/>
          <w:lang w:val="en-US" w:eastAsia="zh-CN"/>
        </w:rPr>
        <w:t xml:space="preserve">任何</w:t>
      </w:r>
      <w:r>
        <w:rPr>
          <w:rFonts w:hint="eastAsia" w:ascii="仿宋" w:hAnsi="仿宋" w:eastAsia="仿宋" w:cs="仿宋"/>
          <w:color w:val="000000"/>
          <w:sz w:val="21"/>
          <w:szCs w:val="21"/>
          <w:highlight w:val="none"/>
        </w:rPr>
        <w:t xml:space="preserve">责任。</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color w:val="000000"/>
          <w:sz w:val="21"/>
          <w:szCs w:val="21"/>
          <w:highlight w:val="none"/>
        </w:rPr>
        <w:outlineLvl w:val="0"/>
      </w:pPr>
      <w:r/>
      <w:bookmarkStart w:id="811" w:name="_Toc110"/>
      <w:r/>
      <w:bookmarkStart w:id="812" w:name="heading_15"/>
      <w:r>
        <w:rPr>
          <w:rFonts w:hint="eastAsia" w:ascii="仿宋" w:hAnsi="仿宋" w:eastAsia="仿宋" w:cs="仿宋"/>
          <w:b/>
          <w:color w:val="000000"/>
          <w:sz w:val="21"/>
          <w:szCs w:val="21"/>
          <w:highlight w:val="none"/>
          <w:lang w:eastAsia="zh-CN"/>
        </w:rPr>
        <w:t xml:space="preserve">（</w:t>
      </w:r>
      <w:r>
        <w:rPr>
          <w:rFonts w:hint="eastAsia" w:ascii="仿宋" w:hAnsi="仿宋" w:eastAsia="仿宋" w:cs="仿宋"/>
          <w:b/>
          <w:color w:val="000000"/>
          <w:sz w:val="21"/>
          <w:szCs w:val="21"/>
          <w:highlight w:val="none"/>
          <w:lang w:val="en-US" w:eastAsia="zh-CN"/>
        </w:rPr>
        <w:t xml:space="preserve">二）</w:t>
      </w:r>
      <w:r>
        <w:rPr>
          <w:rFonts w:hint="eastAsia" w:ascii="仿宋" w:hAnsi="仿宋" w:eastAsia="仿宋" w:cs="仿宋"/>
          <w:b/>
          <w:color w:val="000000"/>
          <w:sz w:val="21"/>
          <w:szCs w:val="21"/>
          <w:highlight w:val="none"/>
        </w:rPr>
        <w:t xml:space="preserve">场地及设施设备</w:t>
      </w:r>
      <w:bookmarkEnd w:id="811"/>
      <w:r>
        <w:rPr>
          <w:rFonts w:hint="eastAsia" w:ascii="仿宋" w:hAnsi="仿宋" w:eastAsia="仿宋" w:cs="仿宋"/>
          <w:b/>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1.所有权与使用权：</w:t>
      </w:r>
      <w:r>
        <w:rPr>
          <w:rFonts w:hint="eastAsia" w:ascii="仿宋" w:hAnsi="仿宋" w:eastAsia="仿宋" w:cs="仿宋"/>
          <w:color w:val="000000"/>
          <w:sz w:val="21"/>
          <w:szCs w:val="21"/>
          <w:highlight w:val="none"/>
        </w:rPr>
        <w:t xml:space="preserve">食堂所有权归采购人所有，成交供应商在合同履行期内拥有合法经营权和收益权，不得擅自转让、出租、出借经营权。严格按采购人规定范围经营，不得随意扩大经营范围，采购人对经营范围有最终解释权</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场地及设施设备</w:t>
      </w:r>
      <w:r>
        <w:rPr>
          <w:rFonts w:hint="eastAsia" w:ascii="仿宋" w:hAnsi="仿宋" w:eastAsia="仿宋" w:cs="仿宋"/>
          <w:color w:val="000000"/>
          <w:sz w:val="21"/>
          <w:szCs w:val="21"/>
          <w:highlight w:val="none"/>
          <w:lang w:val="en-US" w:eastAsia="zh-CN"/>
        </w:rPr>
        <w:t xml:space="preserve">范围：</w:t>
      </w:r>
      <w:r>
        <w:rPr>
          <w:rFonts w:hint="eastAsia" w:ascii="仿宋" w:hAnsi="仿宋" w:eastAsia="仿宋" w:cs="仿宋"/>
          <w:color w:val="000000"/>
          <w:sz w:val="21"/>
          <w:szCs w:val="21"/>
          <w:highlight w:val="none"/>
        </w:rPr>
        <w:t xml:space="preserve">采购人提供</w:t>
      </w:r>
      <w:r>
        <w:rPr>
          <w:rFonts w:hint="eastAsia" w:ascii="仿宋" w:hAnsi="仿宋" w:eastAsia="仿宋" w:cs="仿宋"/>
          <w:color w:val="000000"/>
          <w:sz w:val="21"/>
          <w:szCs w:val="21"/>
          <w:highlight w:val="none"/>
          <w:lang w:val="en-US" w:eastAsia="zh-CN"/>
        </w:rPr>
        <w:t xml:space="preserve">现有</w:t>
      </w:r>
      <w:r>
        <w:rPr>
          <w:rFonts w:hint="eastAsia" w:ascii="仿宋" w:hAnsi="仿宋" w:eastAsia="仿宋" w:cs="仿宋"/>
          <w:color w:val="000000"/>
          <w:sz w:val="21"/>
          <w:szCs w:val="21"/>
          <w:highlight w:val="none"/>
        </w:rPr>
        <w:t xml:space="preserve">食堂所有房屋（含餐厅、厨房、库房、辅助用房等）、餐厅餐桌椅、餐具，以及食堂内现有相关设施设备（包括厨具、相关设备等），供成交供应商运营使用。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3.移交要求：合同签订后3个工作日内，双方共同完成资产现场验收，签署《食堂资产移交清单》，明确资产完好状态；成交供应商需对移交资产进行拍照留存，作为合同终止时资产移交的依据。</w:t>
      </w:r>
      <w:bookmarkEnd w:id="812"/>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rPr>
        <w:outlineLvl w:val="0"/>
      </w:pPr>
      <w:r/>
      <w:bookmarkStart w:id="813" w:name="_Toc27374"/>
      <w:r>
        <w:rPr>
          <w:rFonts w:hint="eastAsia" w:ascii="仿宋" w:hAnsi="仿宋" w:eastAsia="仿宋" w:cs="仿宋"/>
          <w:b/>
          <w:bCs/>
          <w:color w:val="000000"/>
          <w:sz w:val="21"/>
          <w:szCs w:val="21"/>
          <w:highlight w:val="none"/>
          <w:lang w:val="en-US" w:eastAsia="zh-CN"/>
        </w:rPr>
        <w:t xml:space="preserve">（三）</w:t>
      </w:r>
      <w:r>
        <w:rPr>
          <w:rFonts w:hint="eastAsia" w:ascii="仿宋" w:hAnsi="仿宋" w:eastAsia="仿宋" w:cs="仿宋"/>
          <w:b/>
          <w:bCs/>
          <w:color w:val="000000"/>
          <w:sz w:val="21"/>
          <w:szCs w:val="21"/>
          <w:highlight w:val="none"/>
        </w:rPr>
        <w:t xml:space="preserve">其他要求</w:t>
      </w:r>
      <w:bookmarkEnd w:id="813"/>
      <w:r>
        <w:rPr>
          <w:rFonts w:hint="eastAsia" w:ascii="仿宋" w:hAnsi="仿宋" w:eastAsia="仿宋" w:cs="仿宋"/>
          <w:b/>
          <w:bCs/>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1.成交供应商承包经营期间所发生的所有债权、债务及劳资纠纷、员工人身伤害等，全部由成交供应商负责并依法承担责任。</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2.供应商需严格遵守国家相关法律法规及采购人各项规定，合法合规经营，若存在违规经营行为，采购人有权终止合同，并追究供应商相关责任。</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lang w:val="en"/>
        </w:rPr>
        <w:t xml:space="preserve">服务期满</w:t>
      </w:r>
      <w:r>
        <w:rPr>
          <w:rFonts w:hint="eastAsia" w:ascii="仿宋" w:hAnsi="仿宋" w:eastAsia="仿宋" w:cs="仿宋"/>
          <w:color w:val="000000"/>
          <w:sz w:val="21"/>
          <w:szCs w:val="21"/>
          <w:highlight w:val="none"/>
        </w:rPr>
        <w:t xml:space="preserve">后在新的</w:t>
      </w:r>
      <w:r>
        <w:rPr>
          <w:rFonts w:hint="eastAsia" w:ascii="仿宋" w:hAnsi="仿宋" w:eastAsia="仿宋" w:cs="仿宋"/>
          <w:color w:val="000000"/>
          <w:sz w:val="21"/>
          <w:szCs w:val="21"/>
          <w:highlight w:val="none"/>
          <w:lang w:val="en-US" w:eastAsia="zh-CN"/>
        </w:rPr>
        <w:t xml:space="preserve">成交供应商（如有）</w:t>
      </w:r>
      <w:r>
        <w:rPr>
          <w:rFonts w:hint="eastAsia" w:ascii="仿宋" w:hAnsi="仿宋" w:eastAsia="仿宋" w:cs="仿宋"/>
          <w:color w:val="000000"/>
          <w:sz w:val="21"/>
          <w:szCs w:val="21"/>
          <w:highlight w:val="none"/>
        </w:rPr>
        <w:t xml:space="preserve">接管相应服务管理工作前，</w:t>
      </w:r>
      <w:r>
        <w:rPr>
          <w:rFonts w:hint="eastAsia" w:ascii="仿宋" w:hAnsi="仿宋" w:eastAsia="仿宋" w:cs="仿宋"/>
          <w:color w:val="000000"/>
          <w:sz w:val="21"/>
          <w:szCs w:val="21"/>
          <w:highlight w:val="none"/>
          <w:lang w:val="en-US" w:eastAsia="zh-CN"/>
        </w:rPr>
        <w:t xml:space="preserve">供应商</w:t>
      </w:r>
      <w:r>
        <w:rPr>
          <w:rFonts w:hint="eastAsia" w:ascii="仿宋" w:hAnsi="仿宋" w:eastAsia="仿宋" w:cs="仿宋"/>
          <w:color w:val="000000"/>
          <w:sz w:val="21"/>
          <w:szCs w:val="21"/>
          <w:highlight w:val="none"/>
        </w:rPr>
        <w:t xml:space="preserve">应继续提供相应服务及管理，过渡期服务管理标准和服务费用标准不变，由</w:t>
      </w:r>
      <w:r>
        <w:rPr>
          <w:rFonts w:hint="eastAsia" w:ascii="仿宋" w:hAnsi="仿宋" w:eastAsia="仿宋" w:cs="仿宋"/>
          <w:color w:val="000000"/>
          <w:sz w:val="21"/>
          <w:szCs w:val="21"/>
          <w:highlight w:val="none"/>
          <w:lang w:val="en-US" w:eastAsia="zh-CN"/>
        </w:rPr>
        <w:t xml:space="preserve">成交供应商</w:t>
      </w:r>
      <w:r>
        <w:rPr>
          <w:rFonts w:hint="eastAsia" w:ascii="仿宋" w:hAnsi="仿宋" w:eastAsia="仿宋" w:cs="仿宋"/>
          <w:color w:val="000000"/>
          <w:sz w:val="21"/>
          <w:szCs w:val="21"/>
          <w:highlight w:val="none"/>
        </w:rPr>
        <w:t xml:space="preserve">收取；过渡期满后，必须按规定进行交接撤离。</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资产移交要求：合同终止（含提前终止）后1个月内，成交供应商需将采购人提供的全部资产（含房屋、设施设备、餐具、餐桌椅等），按《食堂资产移交清单》记载的完好状态，移交新的承包经营者或采购人指定人员；移交时需确保设备正常使用，无损坏、无丢失、无擅自改装，食堂环境卫生清理干净，无残留食材、杂物。移交完成后，由原成交供应商、现成交供应商（如有）、采购人监管部门三方现场验收，签署《资产移交验收单》，验收合格后，双方结清所有费用</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应急保障要求：遇突发公共卫生事件、停水停电、设备故障等紧急情况，供应商需立即启动应急预案，及时采取应急措施，保障职工基本就餐需求；如因供应商应急处置不力，造成严重影响的，采购人有权终止合同并由成交供应商承担一切损失。</w:t>
      </w:r>
      <w:r>
        <w:rPr>
          <w:rFonts w:hint="eastAsia" w:ascii="仿宋" w:hAnsi="仿宋" w:eastAsia="仿宋" w:cs="仿宋"/>
          <w:color w:val="000000"/>
          <w:sz w:val="21"/>
          <w:szCs w:val="21"/>
          <w:highlight w:val="none"/>
          <w:lang w:val="en-US" w:eastAsia="zh-CN"/>
        </w:rPr>
      </w:r>
      <w:r/>
    </w:p>
    <w:p>
      <w:pPr>
        <w:pStyle w:val="1032"/>
        <w:ind w:firstLine="422"/>
        <w:jc w:val="left"/>
        <w:keepLines w:val="0"/>
        <w:keepNext w:val="0"/>
        <w:pageBreakBefore w:val="0"/>
        <w:spacing w:line="360" w:lineRule="auto"/>
        <w:shd w:val="clear" w:color="auto" w:fill="ffffff"/>
        <w:widowControl w:val="off"/>
        <w:rPr>
          <w:rFonts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五、</w:t>
      </w:r>
      <w:r>
        <w:rPr>
          <w:rFonts w:hint="eastAsia" w:ascii="仿宋" w:hAnsi="仿宋" w:eastAsia="仿宋" w:cs="仿宋"/>
          <w:b/>
          <w:bCs/>
          <w:color w:val="000000"/>
          <w:sz w:val="21"/>
          <w:szCs w:val="21"/>
          <w:highlight w:val="none"/>
        </w:rPr>
        <w:t xml:space="preserve">实质性要求</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无</w:t>
      </w:r>
      <w:r>
        <w:rPr>
          <w:rFonts w:ascii="仿宋" w:hAnsi="仿宋" w:eastAsia="仿宋" w:cs="仿宋"/>
          <w:b/>
          <w:bCs/>
          <w:color w:val="000000"/>
          <w:sz w:val="21"/>
          <w:szCs w:val="21"/>
          <w:highlight w:val="none"/>
          <w:lang w:val="en-US"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六</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采购标的对应的中小企业划分标准所属行业一览表</w:t>
      </w:r>
      <w:r>
        <w:rPr>
          <w:rFonts w:hint="eastAsia" w:ascii="仿宋" w:hAnsi="仿宋" w:eastAsia="仿宋" w:cs="仿宋"/>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803"/>
        <w:gridCol w:w="4699"/>
      </w:tblGrid>
      <w:tr>
        <w:trPr>
          <w:cantSplit/>
          <w:trHeight w:val="567"/>
        </w:trPr>
        <w:tc>
          <w:tcPr>
            <w:tcW w:w="1101" w:type="dxa"/>
            <w:vAlign w:val="center"/>
            <w:textDirection w:val="lrTb"/>
            <w:noWrap w:val="false"/>
          </w:tcPr>
          <w:p>
            <w:pPr>
              <w:pStyle w:val="1032"/>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W w:w="2803" w:type="dxa"/>
            <w:vAlign w:val="center"/>
            <w:textDirection w:val="lrTb"/>
            <w:noWrap w:val="false"/>
          </w:tcPr>
          <w:p>
            <w:pPr>
              <w:pStyle w:val="1032"/>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采购标的</w:t>
            </w:r>
            <w:r>
              <w:rPr>
                <w:rFonts w:hint="eastAsia" w:ascii="仿宋" w:hAnsi="仿宋" w:eastAsia="仿宋" w:cs="仿宋"/>
                <w:color w:val="000000"/>
                <w:sz w:val="21"/>
                <w:szCs w:val="21"/>
                <w:highlight w:val="none"/>
              </w:rPr>
            </w:r>
            <w:r/>
          </w:p>
        </w:tc>
        <w:tc>
          <w:tcPr>
            <w:tcW w:w="4699" w:type="dxa"/>
            <w:vAlign w:val="center"/>
            <w:textDirection w:val="lrTb"/>
            <w:noWrap w:val="false"/>
          </w:tcPr>
          <w:p>
            <w:pPr>
              <w:pStyle w:val="1032"/>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对应中小企业划分标准所属行业</w:t>
            </w:r>
            <w:r>
              <w:rPr>
                <w:rFonts w:hint="eastAsia" w:ascii="仿宋" w:hAnsi="仿宋" w:eastAsia="仿宋" w:cs="仿宋"/>
                <w:color w:val="000000"/>
                <w:sz w:val="21"/>
                <w:szCs w:val="21"/>
                <w:highlight w:val="none"/>
              </w:rPr>
            </w:r>
            <w:r/>
          </w:p>
        </w:tc>
      </w:tr>
      <w:tr>
        <w:trPr>
          <w:cantSplit/>
          <w:trHeight w:val="567"/>
        </w:trPr>
        <w:tc>
          <w:tcPr>
            <w:tcW w:w="1101" w:type="dxa"/>
            <w:vAlign w:val="center"/>
            <w:textDirection w:val="lrTb"/>
            <w:noWrap w:val="false"/>
          </w:tcPr>
          <w:p>
            <w:pPr>
              <w:pStyle w:val="1032"/>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2803" w:type="dxa"/>
            <w:vAlign w:val="center"/>
            <w:textDirection w:val="lrTb"/>
            <w:noWrap w:val="false"/>
          </w:tcPr>
          <w:p>
            <w:pPr>
              <w:pStyle w:val="1032"/>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b/>
                <w:bCs/>
                <w:i w:val="0"/>
                <w:iCs w:val="0"/>
                <w:caps w:val="0"/>
                <w:color w:val="000000"/>
                <w:spacing w:val="0"/>
                <w:sz w:val="21"/>
                <w:szCs w:val="21"/>
                <w:highlight w:val="none"/>
                <w:u w:val="none"/>
                <w:shd w:val="clear" w:color="auto" w:fill="ffffff"/>
                <w:lang w:eastAsia="zh-CN"/>
              </w:rPr>
              <w:t xml:space="preserve">职工食堂委托经营服务</w:t>
            </w:r>
            <w:r>
              <w:rPr>
                <w:rFonts w:hint="eastAsia" w:ascii="仿宋" w:hAnsi="仿宋" w:eastAsia="仿宋" w:cs="仿宋"/>
                <w:color w:val="000000"/>
                <w:sz w:val="21"/>
                <w:szCs w:val="21"/>
                <w:highlight w:val="none"/>
                <w:lang w:val="en-US" w:eastAsia="zh-CN"/>
              </w:rPr>
            </w:r>
            <w:r/>
          </w:p>
        </w:tc>
        <w:tc>
          <w:tcPr>
            <w:tcW w:w="4699" w:type="dxa"/>
            <w:vAlign w:val="center"/>
            <w:textDirection w:val="lrTb"/>
            <w:noWrap w:val="false"/>
          </w:tcPr>
          <w:p>
            <w:pPr>
              <w:pStyle w:val="1032"/>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餐饮业</w:t>
            </w:r>
            <w:r>
              <w:rPr>
                <w:rFonts w:hint="eastAsia" w:ascii="仿宋" w:hAnsi="仿宋" w:eastAsia="仿宋" w:cs="仿宋"/>
                <w:color w:val="000000"/>
                <w:sz w:val="21"/>
                <w:szCs w:val="21"/>
                <w:highlight w:val="none"/>
                <w:lang w:val="en-US" w:eastAsia="zh-CN"/>
              </w:rPr>
            </w:r>
            <w:r/>
          </w:p>
        </w:tc>
      </w:tr>
    </w:tbl>
    <w:p>
      <w:pPr>
        <w:pStyle w:val="1032"/>
        <w:ind w:firstLine="420"/>
        <w:jc w:val="left"/>
        <w:spacing w:before="120" w:line="360" w:lineRule="auto"/>
        <w:rPr>
          <w:rFonts w:ascii="仿宋" w:hAnsi="仿宋" w:eastAsia="仿宋" w:cs="仿宋"/>
          <w:color w:val="000000"/>
          <w:szCs w:val="21"/>
          <w:highlight w:val="none"/>
        </w:rPr>
      </w:pPr>
      <w:r>
        <w:rPr>
          <w:rFonts w:ascii="仿宋" w:hAnsi="仿宋" w:eastAsia="仿宋" w:cs="仿宋"/>
          <w:color w:val="000000"/>
          <w:szCs w:val="21"/>
          <w:highlight w:val="none"/>
        </w:rPr>
      </w:r>
      <w:r/>
    </w:p>
    <w:p>
      <w:pPr>
        <w:pStyle w:val="1032"/>
        <w:rPr>
          <w:rFonts w:hint="eastAsia" w:ascii="仿宋" w:hAnsi="仿宋" w:eastAsia="仿宋" w:cs="仿宋"/>
          <w:color w:val="000000"/>
          <w:highlight w:val="none"/>
        </w:rPr>
      </w:pPr>
      <w:r/>
      <w:bookmarkEnd w:id="788"/>
      <w:r/>
      <w:bookmarkEnd w:id="789"/>
      <w:r/>
      <w:bookmarkEnd w:id="791"/>
      <w:r>
        <w:rPr>
          <w:rFonts w:hint="eastAsia" w:ascii="仿宋" w:hAnsi="仿宋" w:eastAsia="仿宋" w:cs="仿宋"/>
          <w:color w:val="000000"/>
          <w:highlight w:val="none"/>
        </w:rPr>
      </w:r>
      <w:r/>
    </w:p>
    <w:p>
      <w:pPr>
        <w:pStyle w:val="1216"/>
        <w:rPr>
          <w:rStyle w:val="1217"/>
          <w:rFonts w:hint="eastAsia" w:ascii="仿宋" w:hAnsi="仿宋" w:eastAsia="仿宋" w:cs="仿宋"/>
          <w:b w:val="0"/>
          <w:color w:val="000000"/>
          <w:highlight w:val="none"/>
        </w:rPr>
      </w:pPr>
      <w:r/>
      <w:bookmarkStart w:id="814" w:name="_Hlk139628515"/>
      <w:r>
        <w:rPr>
          <w:rFonts w:hint="eastAsia" w:ascii="仿宋" w:hAnsi="仿宋" w:eastAsia="仿宋" w:cs="仿宋"/>
          <w:color w:val="000000"/>
          <w:sz w:val="28"/>
          <w:szCs w:val="28"/>
          <w:highlight w:val="none"/>
        </w:rPr>
        <w:br w:type="page" w:clear="all"/>
      </w:r>
      <w:bookmarkStart w:id="815" w:name="_Toc27685"/>
      <w:r>
        <w:rPr>
          <w:rStyle w:val="1217"/>
          <w:rFonts w:hint="eastAsia" w:ascii="仿宋" w:hAnsi="仿宋" w:eastAsia="仿宋" w:cs="仿宋"/>
          <w:b w:val="0"/>
          <w:color w:val="000000"/>
          <w:highlight w:val="none"/>
        </w:rPr>
        <w:t xml:space="preserve">第六章  </w:t>
      </w:r>
      <w:bookmarkStart w:id="816" w:name="_Hlk138941606"/>
      <w:r>
        <w:rPr>
          <w:rStyle w:val="1217"/>
          <w:rFonts w:hint="eastAsia" w:ascii="仿宋" w:hAnsi="仿宋" w:eastAsia="仿宋" w:cs="仿宋"/>
          <w:b w:val="0"/>
          <w:color w:val="000000"/>
          <w:highlight w:val="none"/>
        </w:rPr>
        <w:t xml:space="preserve"> </w:t>
      </w:r>
      <w:bookmarkStart w:id="817" w:name="_Hlk119591849"/>
      <w:r>
        <w:rPr>
          <w:rStyle w:val="1217"/>
          <w:rFonts w:hint="eastAsia" w:ascii="仿宋" w:hAnsi="仿宋" w:eastAsia="仿宋" w:cs="仿宋"/>
          <w:b w:val="0"/>
          <w:color w:val="000000"/>
          <w:highlight w:val="none"/>
        </w:rPr>
        <w:t xml:space="preserve">拟签订的合同文本</w:t>
      </w:r>
      <w:bookmarkEnd w:id="815"/>
      <w:r/>
      <w:bookmarkEnd w:id="816"/>
      <w:r/>
      <w:bookmarkEnd w:id="817"/>
      <w:r>
        <w:rPr>
          <w:rStyle w:val="1217"/>
          <w:rFonts w:hint="eastAsia" w:ascii="仿宋" w:hAnsi="仿宋" w:eastAsia="仿宋" w:cs="仿宋"/>
          <w:b w:val="0"/>
          <w:color w:val="000000"/>
          <w:highlight w:val="none"/>
        </w:rPr>
      </w:r>
      <w:r/>
    </w:p>
    <w:p>
      <w:pPr>
        <w:pStyle w:val="1216"/>
        <w:contextualSpacing/>
        <w:ind w:firstLine="422"/>
        <w:spacing w:before="0" w:after="0" w:line="360" w:lineRule="auto"/>
        <w:rPr>
          <w:rFonts w:hint="eastAsia" w:ascii="仿宋" w:hAnsi="仿宋" w:eastAsia="仿宋" w:cs="仿宋"/>
          <w:color w:val="000000"/>
          <w:sz w:val="21"/>
          <w:szCs w:val="21"/>
          <w:highlight w:val="none"/>
        </w:rPr>
      </w:pPr>
      <w:r/>
      <w:bookmarkEnd w:id="814"/>
      <w:r/>
      <w:bookmarkStart w:id="818" w:name="_Hlk132754170"/>
      <w:r/>
      <w:bookmarkEnd w:id="818"/>
      <w:r>
        <w:rPr>
          <w:rFonts w:hint="eastAsia" w:ascii="仿宋" w:hAnsi="仿宋" w:eastAsia="仿宋" w:cs="仿宋"/>
          <w:color w:val="000000"/>
          <w:sz w:val="21"/>
          <w:szCs w:val="21"/>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505"/>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1032"/>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合同编号：</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32"/>
          <w:szCs w:val="32"/>
          <w:highlight w:val="none"/>
        </w:rPr>
        <w:t xml:space="preserve">        </w:t>
      </w:r>
      <w:r>
        <w:rPr>
          <w:rFonts w:hint="eastAsia" w:ascii="仿宋" w:hAnsi="仿宋" w:eastAsia="仿宋" w:cs="仿宋"/>
          <w:b/>
          <w:color w:val="000000"/>
          <w:sz w:val="28"/>
          <w:szCs w:val="28"/>
          <w:highlight w:val="none"/>
        </w:rPr>
      </w:r>
      <w:r/>
    </w:p>
    <w:p>
      <w:pPr>
        <w:pStyle w:val="1032"/>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032"/>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032"/>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lang w:val="en-US" w:eastAsia="zh-CN"/>
        </w:rPr>
        <w:t xml:space="preserve">服  务</w:t>
      </w:r>
      <w:r>
        <w:rPr>
          <w:rFonts w:hint="eastAsia" w:ascii="仿宋" w:hAnsi="仿宋" w:eastAsia="仿宋" w:cs="仿宋"/>
          <w:b/>
          <w:color w:val="000000"/>
          <w:sz w:val="44"/>
          <w:szCs w:val="44"/>
          <w:highlight w:val="none"/>
        </w:rPr>
        <w:t xml:space="preserve"> 合 同</w:t>
      </w:r>
      <w:r>
        <w:rPr>
          <w:rFonts w:hint="eastAsia" w:ascii="仿宋" w:hAnsi="仿宋" w:eastAsia="仿宋" w:cs="仿宋"/>
          <w:b/>
          <w:color w:val="000000"/>
          <w:sz w:val="44"/>
          <w:szCs w:val="44"/>
          <w:highlight w:val="none"/>
        </w:rPr>
      </w:r>
      <w:r/>
    </w:p>
    <w:p>
      <w:pPr>
        <w:pStyle w:val="1032"/>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1313"/>
        <w:ind w:firstLine="480"/>
        <w:rPr>
          <w:rFonts w:hint="eastAsia" w:ascii="仿宋" w:hAnsi="仿宋" w:eastAsia="仿宋" w:cs="仿宋"/>
          <w:color w:val="000000"/>
          <w:highlight w:val="none"/>
        </w:rP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1313"/>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13"/>
        <w:ind w:firstLine="480"/>
        <w:rPr>
          <w:rFonts w:hint="eastAsia" w:ascii="仿宋" w:hAnsi="仿宋" w:eastAsia="仿宋" w:cs="仿宋"/>
          <w:color w:val="000000"/>
          <w:highlight w:val="none"/>
          <w:lang w:eastAsia="zh-CN"/>
        </w:rPr>
      </w:pPr>
      <w:r>
        <w:rPr>
          <w:rFonts w:hint="eastAsia" w:ascii="仿宋" w:hAnsi="仿宋" w:eastAsia="仿宋" w:cs="仿宋"/>
          <w:b/>
          <w:color w:val="000000"/>
          <w:highlight w:val="none"/>
          <w:lang w:val="en-US" w:eastAsia="zh-CN"/>
        </w:rPr>
        <w:t xml:space="preserve"> </w:t>
      </w:r>
      <w:r>
        <w:rPr>
          <w:rFonts w:hint="eastAsia" w:ascii="仿宋" w:hAnsi="仿宋" w:eastAsia="仿宋" w:cs="仿宋"/>
          <w:color w:val="000000"/>
          <w:highlight w:val="none"/>
          <w:lang w:eastAsia="zh-CN"/>
        </w:rPr>
      </w:r>
      <w:r/>
    </w:p>
    <w:p>
      <w:pPr>
        <w:pStyle w:val="1313"/>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spacing w:before="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ind w:left="960"/>
        <w:spacing w:before="1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职工食堂委托经营服务</w:t>
      </w:r>
      <w:r>
        <w:rPr>
          <w:rFonts w:hint="eastAsia" w:ascii="仿宋" w:hAnsi="仿宋" w:eastAsia="仿宋" w:cs="仿宋"/>
          <w:color w:val="000000"/>
          <w:sz w:val="28"/>
          <w:szCs w:val="28"/>
          <w:highlight w:val="none"/>
        </w:rPr>
      </w:r>
      <w:r/>
    </w:p>
    <w:p>
      <w:pPr>
        <w:pStyle w:val="1032"/>
        <w:ind w:left="960"/>
        <w:spacing w:before="12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w:t>
      </w:r>
      <w:r>
        <w:rPr>
          <w:rFonts w:hint="eastAsia" w:ascii="仿宋" w:hAnsi="仿宋" w:eastAsia="仿宋" w:cs="仿宋"/>
          <w:color w:val="000000"/>
          <w:sz w:val="28"/>
          <w:szCs w:val="28"/>
          <w:highlight w:val="none"/>
          <w:lang w:val="en-US" w:eastAsia="zh-CN"/>
        </w:rPr>
        <w:t xml:space="preserve">编号</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r>
      <w:r/>
    </w:p>
    <w:p>
      <w:pPr>
        <w:pStyle w:val="1032"/>
        <w:ind w:left="960"/>
        <w:spacing w:before="1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w:t>
      </w:r>
      <w:r>
        <w:rPr>
          <w:rFonts w:hint="eastAsia" w:ascii="仿宋" w:hAnsi="仿宋" w:eastAsia="仿宋" w:cs="仿宋"/>
          <w:color w:val="000000"/>
          <w:sz w:val="28"/>
          <w:szCs w:val="28"/>
          <w:highlight w:val="none"/>
          <w:lang w:eastAsia="zh-CN"/>
        </w:rPr>
        <w:t xml:space="preserve">常州市钟楼区五星街道社区卫生服务中心</w:t>
      </w:r>
      <w:r>
        <w:rPr>
          <w:rFonts w:hint="eastAsia" w:ascii="仿宋" w:hAnsi="仿宋" w:eastAsia="仿宋" w:cs="仿宋"/>
          <w:color w:val="000000"/>
          <w:sz w:val="28"/>
          <w:szCs w:val="28"/>
          <w:highlight w:val="none"/>
        </w:rPr>
      </w:r>
      <w:r/>
    </w:p>
    <w:p>
      <w:pPr>
        <w:pStyle w:val="1032"/>
        <w:ind w:left="960"/>
        <w:spacing w:before="120"/>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rPr>
        <w:t xml:space="preserve">乙方：</w:t>
      </w:r>
      <w:r>
        <w:rPr>
          <w:rFonts w:hint="eastAsia" w:ascii="仿宋" w:hAnsi="仿宋" w:eastAsia="仿宋" w:cs="仿宋"/>
          <w:color w:val="000000"/>
          <w:sz w:val="28"/>
          <w:szCs w:val="28"/>
          <w:highlight w:val="none"/>
          <w:u w:val="none"/>
        </w:rPr>
      </w:r>
      <w:r/>
    </w:p>
    <w:p>
      <w:pPr>
        <w:pStyle w:val="1032"/>
        <w:ind w:left="960"/>
        <w:spacing w:before="12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签订地：</w:t>
      </w:r>
      <w:r>
        <w:rPr>
          <w:rFonts w:hint="eastAsia" w:ascii="仿宋" w:hAnsi="仿宋" w:eastAsia="仿宋" w:cs="仿宋"/>
          <w:color w:val="000000"/>
          <w:sz w:val="28"/>
          <w:szCs w:val="28"/>
          <w:highlight w:val="none"/>
          <w:lang w:eastAsia="zh-CN"/>
        </w:rPr>
        <w:t xml:space="preserve">常州市钟楼区五星街道社区卫生服务中心</w:t>
      </w:r>
      <w:r>
        <w:rPr>
          <w:rFonts w:hint="eastAsia" w:ascii="仿宋" w:hAnsi="仿宋" w:eastAsia="仿宋" w:cs="仿宋"/>
          <w:color w:val="000000"/>
          <w:sz w:val="28"/>
          <w:szCs w:val="28"/>
          <w:highlight w:val="none"/>
          <w:lang w:val="en-US" w:eastAsia="zh-CN"/>
        </w:rPr>
      </w:r>
      <w:r/>
    </w:p>
    <w:p>
      <w:pPr>
        <w:pStyle w:val="1032"/>
        <w:ind w:left="960" w:firstLine="0"/>
        <w:spacing w:before="12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签订日期：</w:t>
      </w:r>
      <w:r>
        <w:rPr>
          <w:rFonts w:hint="eastAsia" w:ascii="仿宋" w:hAnsi="仿宋" w:eastAsia="仿宋" w:cs="仿宋"/>
          <w:color w:val="000000"/>
          <w:sz w:val="28"/>
          <w:szCs w:val="28"/>
          <w:highlight w:val="none"/>
          <w:u w:val="none"/>
        </w:rPr>
        <w:t xml:space="preserve">202</w:t>
      </w:r>
      <w:r>
        <w:rPr>
          <w:rFonts w:hint="eastAsia" w:ascii="仿宋" w:hAnsi="仿宋" w:eastAsia="仿宋" w:cs="仿宋"/>
          <w:color w:val="000000"/>
          <w:sz w:val="28"/>
          <w:szCs w:val="28"/>
          <w:highlight w:val="none"/>
          <w:u w:val="none"/>
          <w:lang w:val="en-US" w:eastAsia="zh-CN"/>
        </w:rPr>
        <w:t xml:space="preserve">6</w:t>
      </w:r>
      <w:r>
        <w:rPr>
          <w:rFonts w:hint="eastAsia" w:ascii="仿宋" w:hAnsi="仿宋" w:eastAsia="仿宋" w:cs="仿宋"/>
          <w:color w:val="000000"/>
          <w:sz w:val="28"/>
          <w:szCs w:val="28"/>
          <w:highlight w:val="none"/>
          <w:u w:val="none"/>
        </w:rPr>
        <w:t xml:space="preserve">年</w:t>
      </w:r>
      <w:r>
        <w:rPr>
          <w:rFonts w:hint="eastAsia" w:ascii="仿宋" w:hAnsi="仿宋" w:eastAsia="仿宋" w:cs="仿宋"/>
          <w:color w:val="000000"/>
          <w:sz w:val="28"/>
          <w:szCs w:val="28"/>
          <w:highlight w:val="none"/>
          <w:u w:val="none"/>
          <w:lang w:val="en-US" w:eastAsia="zh-CN"/>
        </w:rPr>
        <w:t xml:space="preserve">  月  日</w:t>
      </w:r>
      <w:r>
        <w:rPr>
          <w:rFonts w:hint="eastAsia" w:ascii="仿宋" w:hAnsi="仿宋" w:eastAsia="仿宋" w:cs="仿宋"/>
          <w:color w:val="000000"/>
          <w:sz w:val="28"/>
          <w:szCs w:val="28"/>
          <w:highlight w:val="none"/>
        </w:rPr>
      </w:r>
      <w:r/>
    </w:p>
    <w:p>
      <w:pPr>
        <w:pStyle w:val="1032"/>
        <w:rPr>
          <w:color w:val="000000"/>
          <w:highlight w:val="none"/>
        </w:rPr>
      </w:pPr>
      <w:r>
        <w:rPr>
          <w:color w:val="000000"/>
          <w:highlight w:val="none"/>
        </w:rPr>
      </w:r>
      <w:r/>
    </w:p>
    <w:p>
      <w:pPr>
        <w:pStyle w:val="1032"/>
        <w:numPr>
          <w:ilvl w:val="0"/>
          <w:numId w:val="0"/>
        </w:numPr>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1032"/>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1032"/>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1032"/>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1032"/>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1032"/>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1032"/>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br w:type="page" w:clear="all"/>
      </w:r>
      <w:r>
        <w:rPr>
          <w:rFonts w:hint="eastAsia" w:ascii="仿宋" w:hAnsi="仿宋" w:eastAsia="仿宋" w:cs="仿宋"/>
          <w:color w:val="000000"/>
          <w:sz w:val="24"/>
          <w:szCs w:val="24"/>
          <w:highlight w:val="none"/>
          <w:lang w:val="en-US"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甲方: 常州市钟楼区五星街道社区卫生服务中心                         合同编号</w:t>
      </w:r>
      <w:r>
        <w:rPr>
          <w:rFonts w:hint="eastAsia" w:ascii="仿宋" w:hAnsi="仿宋" w:eastAsia="仿宋" w:cs="仿宋"/>
          <w:b/>
          <w:color w:val="000000"/>
          <w:sz w:val="21"/>
          <w:szCs w:val="21"/>
          <w:highlight w:val="none"/>
          <w:lang w:val="en-US" w:eastAsia="zh-CN" w:bidi="ar-SA"/>
        </w:rPr>
        <w:t xml:space="preserve">：</w:t>
      </w:r>
      <w:r>
        <w:rPr>
          <w:rFonts w:hint="eastAsia" w:ascii="仿宋" w:hAnsi="仿宋" w:eastAsia="仿宋" w:cs="仿宋"/>
          <w:color w:val="000000"/>
          <w:sz w:val="21"/>
          <w:szCs w:val="21"/>
          <w:highlight w:val="none"/>
          <w:lang w:val="en-US" w:eastAsia="zh-CN" w:bidi="ar-SA"/>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乙方:                                        签订地点：</w:t>
      </w:r>
      <w:r>
        <w:rPr>
          <w:rFonts w:hint="eastAsia" w:ascii="仿宋" w:hAnsi="仿宋" w:eastAsia="仿宋" w:cs="仿宋"/>
          <w:color w:val="000000"/>
          <w:sz w:val="21"/>
          <w:szCs w:val="21"/>
          <w:highlight w:val="none"/>
          <w:lang w:val="en-US" w:eastAsia="zh-CN" w:bidi="ar-SA"/>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合同时间: 20   年    月    日</w:t>
      </w:r>
      <w:r>
        <w:rPr>
          <w:rFonts w:hint="eastAsia" w:ascii="仿宋" w:hAnsi="仿宋" w:eastAsia="仿宋" w:cs="仿宋"/>
          <w:color w:val="000000"/>
          <w:sz w:val="21"/>
          <w:szCs w:val="21"/>
          <w:highlight w:val="none"/>
          <w:lang w:val="en-US" w:eastAsia="zh-CN" w:bidi="ar-SA"/>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032"/>
        <w:ind w:firstLine="420"/>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年</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月</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日</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u w:val="single"/>
          <w:lang w:val="en-US" w:eastAsia="zh-CN"/>
        </w:rPr>
        <w:t xml:space="preserve">常州市钟楼区五星街道社区卫生服务中心</w:t>
      </w:r>
      <w:r>
        <w:rPr>
          <w:rFonts w:hint="eastAsia" w:ascii="仿宋" w:hAnsi="仿宋" w:eastAsia="仿宋" w:cs="仿宋"/>
          <w:color w:val="000000"/>
          <w:sz w:val="21"/>
          <w:szCs w:val="21"/>
          <w:highlight w:val="none"/>
        </w:rPr>
        <w:t xml:space="preserve">以</w:t>
      </w:r>
      <w:r>
        <w:rPr>
          <w:rFonts w:hint="eastAsia" w:ascii="仿宋" w:hAnsi="仿宋" w:eastAsia="仿宋" w:cs="仿宋"/>
          <w:color w:val="000000"/>
          <w:sz w:val="21"/>
          <w:szCs w:val="21"/>
          <w:highlight w:val="none"/>
          <w:u w:val="single"/>
          <w:lang w:val="en-US" w:eastAsia="zh-CN"/>
        </w:rPr>
        <w:t xml:space="preserve">公开招标方式</w:t>
      </w:r>
      <w:r>
        <w:rPr>
          <w:rFonts w:hint="eastAsia" w:ascii="仿宋" w:hAnsi="仿宋" w:eastAsia="仿宋" w:cs="仿宋"/>
          <w:color w:val="000000"/>
          <w:sz w:val="21"/>
          <w:szCs w:val="21"/>
          <w:highlight w:val="none"/>
        </w:rPr>
        <w:t xml:space="preserve">对采购编号为</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rPr>
        <w:t xml:space="preserve">的</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u w:val="single"/>
          <w:lang w:val="zh-CN" w:eastAsia="zh-CN"/>
        </w:rPr>
        <w:t xml:space="preserve">职工食堂委托经营服务</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rPr>
        <w:t xml:space="preserve">进行了采购。经评定，</w:t>
      </w:r>
      <w:r>
        <w:rPr>
          <w:rFonts w:hint="eastAsia" w:ascii="仿宋" w:hAnsi="仿宋" w:eastAsia="仿宋" w:cs="仿宋"/>
          <w:color w:val="000000"/>
          <w:sz w:val="21"/>
          <w:szCs w:val="21"/>
          <w:highlight w:val="none"/>
          <w:u w:val="single"/>
          <w:lang w:val="zh-CN"/>
        </w:rPr>
        <w:t xml:space="preserve">（</w:t>
      </w:r>
      <w:r>
        <w:rPr>
          <w:rFonts w:hint="eastAsia" w:ascii="仿宋" w:hAnsi="仿宋" w:eastAsia="仿宋" w:cs="仿宋"/>
          <w:color w:val="000000"/>
          <w:sz w:val="21"/>
          <w:szCs w:val="21"/>
          <w:highlight w:val="none"/>
          <w:u w:val="single"/>
          <w:lang w:val="en-US" w:eastAsia="zh-CN"/>
        </w:rPr>
        <w:t xml:space="preserve">乙方</w:t>
      </w:r>
      <w:r>
        <w:rPr>
          <w:rFonts w:hint="eastAsia" w:ascii="仿宋" w:hAnsi="仿宋" w:eastAsia="仿宋" w:cs="仿宋"/>
          <w:color w:val="000000"/>
          <w:sz w:val="21"/>
          <w:szCs w:val="21"/>
          <w:highlight w:val="none"/>
          <w:u w:val="single"/>
          <w:lang w:val="zh-CN"/>
        </w:rPr>
        <w:t xml:space="preserve">名称）</w:t>
      </w:r>
      <w:r>
        <w:rPr>
          <w:rFonts w:hint="eastAsia" w:ascii="仿宋" w:hAnsi="仿宋" w:eastAsia="仿宋" w:cs="仿宋"/>
          <w:color w:val="000000"/>
          <w:sz w:val="21"/>
          <w:szCs w:val="21"/>
          <w:highlight w:val="none"/>
        </w:rPr>
        <w:t xml:space="preserve">为该项目</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zh-CN"/>
        </w:rPr>
        <w:outlineLvl w:val="0"/>
      </w:pPr>
      <w:r/>
      <w:bookmarkStart w:id="819" w:name="_Toc680"/>
      <w:r/>
      <w:bookmarkStart w:id="820" w:name="_Toc17449"/>
      <w:r/>
      <w:bookmarkStart w:id="821" w:name="_Toc1609"/>
      <w:r>
        <w:rPr>
          <w:rFonts w:hint="eastAsia" w:ascii="仿宋" w:hAnsi="仿宋" w:eastAsia="仿宋" w:cs="仿宋"/>
          <w:color w:val="000000"/>
          <w:sz w:val="21"/>
          <w:szCs w:val="21"/>
          <w:highlight w:val="none"/>
          <w:lang w:val="zh-CN"/>
        </w:rPr>
        <w:t xml:space="preserve">依据《中华人民共和国民法典》、</w:t>
      </w:r>
      <w:r>
        <w:rPr>
          <w:rFonts w:hint="eastAsia" w:ascii="仿宋" w:hAnsi="仿宋" w:eastAsia="仿宋" w:cs="仿宋"/>
          <w:color w:val="000000"/>
          <w:sz w:val="21"/>
          <w:szCs w:val="21"/>
          <w:highlight w:val="none"/>
          <w:lang w:val="zh-CN" w:eastAsia="zh-CN"/>
        </w:rPr>
        <w:t xml:space="preserve">《中华人民共和国食品安全法》</w:t>
      </w:r>
      <w:r>
        <w:rPr>
          <w:rFonts w:hint="eastAsia" w:ascii="仿宋" w:hAnsi="仿宋" w:eastAsia="仿宋" w:cs="仿宋"/>
          <w:color w:val="000000"/>
          <w:sz w:val="21"/>
          <w:szCs w:val="21"/>
          <w:highlight w:val="none"/>
          <w:lang w:val="zh-CN"/>
        </w:rPr>
        <w:t xml:space="preserve">等有关的法律法规，以及本采购项目的</w:t>
      </w:r>
      <w:r>
        <w:rPr>
          <w:rFonts w:hint="eastAsia" w:ascii="仿宋" w:hAnsi="仿宋" w:eastAsia="仿宋" w:cs="仿宋"/>
          <w:color w:val="000000"/>
          <w:sz w:val="21"/>
          <w:szCs w:val="21"/>
          <w:highlight w:val="none"/>
          <w:lang w:val="en-US" w:eastAsia="zh-CN"/>
        </w:rPr>
        <w:t xml:space="preserve">招标</w:t>
      </w:r>
      <w:r>
        <w:rPr>
          <w:rFonts w:hint="eastAsia" w:ascii="仿宋" w:hAnsi="仿宋" w:eastAsia="仿宋" w:cs="仿宋"/>
          <w:color w:val="000000"/>
          <w:sz w:val="21"/>
          <w:szCs w:val="21"/>
          <w:highlight w:val="none"/>
          <w:lang w:val="zh-CN"/>
        </w:rPr>
        <w:t xml:space="preserve">文件等采购文件、乙方的《投标（响应）文件》及《中标（成交）通知书》，甲乙双方同意签订本合同。</w:t>
      </w:r>
      <w:bookmarkEnd w:id="819"/>
      <w:r/>
      <w:bookmarkEnd w:id="820"/>
      <w:r/>
      <w:bookmarkEnd w:id="821"/>
      <w:r>
        <w:rPr>
          <w:rFonts w:hint="eastAsia" w:ascii="仿宋" w:hAnsi="仿宋" w:eastAsia="仿宋" w:cs="仿宋"/>
          <w:color w:val="000000"/>
          <w:sz w:val="21"/>
          <w:szCs w:val="21"/>
          <w:highlight w:val="none"/>
          <w:lang w:val="zh-CN"/>
        </w:rPr>
      </w:r>
      <w:r/>
    </w:p>
    <w:p>
      <w:pPr>
        <w:pStyle w:val="1032"/>
        <w:numPr>
          <w:ilvl w:val="0"/>
          <w:numId w:val="0"/>
        </w:numPr>
        <w:ind w:firstLine="422"/>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第一条 采购内容</w:t>
      </w:r>
      <w:r>
        <w:rPr>
          <w:rFonts w:hint="eastAsia" w:ascii="仿宋" w:hAnsi="仿宋" w:eastAsia="仿宋" w:cs="仿宋"/>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1.项目名称:常州市钟楼区五星街道社区卫生服务中心职工食堂委托经营服务（二次）</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2.项目概况:乙方主要负责提供常州市钟楼区五星街道社区卫生服务中心职工就餐服务及少量临时接待、检修人员等人员的就餐服务；</w:t>
      </w:r>
      <w:r>
        <w:rPr>
          <w:rFonts w:hint="eastAsia" w:ascii="仿宋" w:hAnsi="仿宋" w:eastAsia="仿宋" w:cs="仿宋"/>
          <w:color w:val="000000"/>
          <w:sz w:val="21"/>
          <w:szCs w:val="21"/>
          <w:highlight w:val="none"/>
        </w:rPr>
        <w:t xml:space="preserve">在确保职工正常就餐供应的前提下，可兼营小炒、点心等</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同时负责食堂全流程运营管理，包括但不限于食材采购、菜品制作、就餐服务、环境卫生、设施设备维护等</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.经营模式：</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自负盈亏，费用按固定用餐标准和实际就餐次数据实结算。</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场地及设施设备：</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1）所有权与使用权：</w:t>
      </w:r>
      <w:r>
        <w:rPr>
          <w:rFonts w:hint="eastAsia" w:ascii="仿宋" w:hAnsi="仿宋" w:eastAsia="仿宋" w:cs="仿宋"/>
          <w:color w:val="000000"/>
          <w:sz w:val="21"/>
          <w:szCs w:val="21"/>
          <w:highlight w:val="none"/>
        </w:rPr>
        <w:t xml:space="preserve">食堂所有权归</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所有，</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在合同履行期内拥有合法经营权和收益权，不得擅自转让、出租、出借经营权。严格按</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规定范围经营，不得随意扩大经营范围，</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对经营范围有最终解释权</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场地及设施设备</w:t>
      </w:r>
      <w:r>
        <w:rPr>
          <w:rFonts w:hint="eastAsia" w:ascii="仿宋" w:hAnsi="仿宋" w:eastAsia="仿宋" w:cs="仿宋"/>
          <w:color w:val="000000"/>
          <w:sz w:val="21"/>
          <w:szCs w:val="21"/>
          <w:highlight w:val="none"/>
          <w:lang w:val="en-US" w:eastAsia="zh-CN"/>
        </w:rPr>
        <w:t xml:space="preserve">范围：</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提供</w:t>
      </w:r>
      <w:r>
        <w:rPr>
          <w:rFonts w:hint="eastAsia" w:ascii="仿宋" w:hAnsi="仿宋" w:eastAsia="仿宋" w:cs="仿宋"/>
          <w:color w:val="000000"/>
          <w:sz w:val="21"/>
          <w:szCs w:val="21"/>
          <w:highlight w:val="none"/>
          <w:lang w:val="en-US" w:eastAsia="zh-CN"/>
        </w:rPr>
        <w:t xml:space="preserve">现有</w:t>
      </w:r>
      <w:r>
        <w:rPr>
          <w:rFonts w:hint="eastAsia" w:ascii="仿宋" w:hAnsi="仿宋" w:eastAsia="仿宋" w:cs="仿宋"/>
          <w:color w:val="000000"/>
          <w:sz w:val="21"/>
          <w:szCs w:val="21"/>
          <w:highlight w:val="none"/>
        </w:rPr>
        <w:t xml:space="preserve">食堂所有房屋（含餐厅、厨房、库房、辅助用房等）、餐厅餐桌椅、餐具，以及食堂内现有相关设施设备（包括厨具、相关设备等），供</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运营使用。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3）移交要求：合同签订后3个工作日内，双方共同完成资产现场验收，签署《食堂资产移交清单》，明确资产完好状态；乙方需对移交资产进行拍照留存，作为合同终止时资产移交的依据。</w:t>
      </w:r>
      <w:r>
        <w:rPr>
          <w:rFonts w:ascii="仿宋" w:hAnsi="仿宋" w:eastAsia="仿宋" w:cs="仿宋"/>
          <w:color w:val="000000"/>
          <w:sz w:val="21"/>
          <w:szCs w:val="21"/>
          <w:highlight w:val="none"/>
          <w:lang w:val="en-US" w:eastAsia="zh-CN"/>
        </w:rPr>
      </w:r>
      <w:r/>
    </w:p>
    <w:p>
      <w:pPr>
        <w:pStyle w:val="1032"/>
        <w:numPr>
          <w:ilvl w:val="0"/>
          <w:numId w:val="0"/>
        </w:numPr>
        <w:ind w:firstLine="422"/>
        <w:jc w:val="both"/>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第二条 服务期限</w:t>
      </w:r>
      <w:r>
        <w:rPr>
          <w:rFonts w:hint="eastAsia" w:ascii="仿宋" w:hAnsi="仿宋" w:eastAsia="仿宋" w:cs="仿宋"/>
          <w:b/>
          <w:bCs/>
          <w:color w:val="000000"/>
          <w:sz w:val="21"/>
          <w:szCs w:val="21"/>
          <w:highlight w:val="none"/>
          <w:lang w:val="en-US" w:eastAsia="zh-CN"/>
        </w:rPr>
      </w:r>
      <w:r/>
    </w:p>
    <w:p>
      <w:pPr>
        <w:pStyle w:val="1032"/>
        <w:numPr>
          <w:ilvl w:val="0"/>
          <w:numId w:val="0"/>
        </w:numPr>
        <w:ind w:firstLine="422"/>
        <w:jc w:val="both"/>
        <w:keepLines w:val="0"/>
        <w:keepNext w:val="0"/>
        <w:pageBreakBefore w:val="0"/>
        <w:spacing w:line="360" w:lineRule="auto"/>
        <w:widowControl w:val="off"/>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eastAsia="zh-CN"/>
        </w:rPr>
        <w:t xml:space="preserve">暂定三年，合同一年一签。</w:t>
      </w:r>
      <w:r>
        <w:rPr>
          <w:rFonts w:hint="eastAsia" w:ascii="仿宋" w:hAnsi="仿宋" w:eastAsia="仿宋" w:cs="仿宋"/>
          <w:b/>
          <w:bCs/>
          <w:color w:val="000000"/>
          <w:sz w:val="21"/>
          <w:szCs w:val="21"/>
          <w:highlight w:val="none"/>
          <w:lang w:val="en-US" w:eastAsia="zh-CN"/>
        </w:rPr>
        <w:t xml:space="preserve">一年</w:t>
      </w:r>
      <w:r>
        <w:rPr>
          <w:rFonts w:hint="eastAsia" w:ascii="仿宋" w:hAnsi="仿宋" w:eastAsia="仿宋" w:cs="仿宋"/>
          <w:b/>
          <w:bCs/>
          <w:color w:val="000000"/>
          <w:sz w:val="21"/>
          <w:szCs w:val="21"/>
          <w:highlight w:val="none"/>
          <w:lang w:eastAsia="zh-CN"/>
        </w:rPr>
        <w:t xml:space="preserve">合同服务期满后，甲方根据考核结果确定是否续签服务合同，若考核情况良好，</w:t>
      </w:r>
      <w:r>
        <w:rPr>
          <w:rFonts w:hint="eastAsia" w:ascii="仿宋" w:hAnsi="仿宋" w:eastAsia="仿宋" w:cs="仿宋"/>
          <w:b/>
          <w:bCs/>
          <w:color w:val="000000"/>
          <w:sz w:val="21"/>
          <w:szCs w:val="21"/>
          <w:highlight w:val="none"/>
          <w:lang w:val="en-US" w:eastAsia="zh-CN"/>
        </w:rPr>
        <w:t xml:space="preserve">可续签</w:t>
      </w:r>
      <w:r>
        <w:rPr>
          <w:rFonts w:hint="eastAsia" w:ascii="仿宋" w:hAnsi="仿宋" w:eastAsia="仿宋" w:cs="仿宋"/>
          <w:b/>
          <w:bCs/>
          <w:color w:val="000000"/>
          <w:sz w:val="21"/>
          <w:szCs w:val="21"/>
          <w:highlight w:val="none"/>
          <w:lang w:eastAsia="zh-CN"/>
        </w:rPr>
        <w:t xml:space="preserve">下一</w:t>
      </w:r>
      <w:r>
        <w:rPr>
          <w:rFonts w:hint="eastAsia" w:ascii="仿宋" w:hAnsi="仿宋" w:eastAsia="仿宋" w:cs="仿宋"/>
          <w:b/>
          <w:bCs/>
          <w:color w:val="000000"/>
          <w:sz w:val="21"/>
          <w:szCs w:val="21"/>
          <w:highlight w:val="none"/>
          <w:lang w:val="en-US" w:eastAsia="zh-CN"/>
        </w:rPr>
        <w:t xml:space="preserve">年度</w:t>
      </w:r>
      <w:r>
        <w:rPr>
          <w:rFonts w:hint="eastAsia" w:ascii="仿宋" w:hAnsi="仿宋" w:eastAsia="仿宋" w:cs="仿宋"/>
          <w:b/>
          <w:bCs/>
          <w:color w:val="000000"/>
          <w:sz w:val="21"/>
          <w:szCs w:val="21"/>
          <w:highlight w:val="none"/>
          <w:lang w:eastAsia="zh-CN"/>
        </w:rPr>
        <w:t xml:space="preserve">的服务合同，续签最多不超过2次。</w:t>
      </w:r>
      <w:r>
        <w:rPr>
          <w:rFonts w:hint="eastAsia" w:ascii="仿宋" w:hAnsi="仿宋" w:eastAsia="仿宋" w:cs="仿宋"/>
          <w:b/>
          <w:bCs/>
          <w:color w:val="000000"/>
          <w:sz w:val="21"/>
          <w:szCs w:val="21"/>
          <w:highlight w:val="none"/>
          <w:lang w:eastAsia="zh-CN"/>
        </w:rPr>
      </w:r>
      <w:r/>
    </w:p>
    <w:p>
      <w:pPr>
        <w:pStyle w:val="1032"/>
        <w:numPr>
          <w:ilvl w:val="0"/>
          <w:numId w:val="0"/>
        </w:numPr>
        <w:ind w:firstLine="422"/>
        <w:jc w:val="both"/>
        <w:keepLines w:val="0"/>
        <w:keepNext w:val="0"/>
        <w:pageBreakBefore w:val="0"/>
        <w:spacing w:line="360" w:lineRule="auto"/>
        <w:widowControl w:val="off"/>
        <w:rPr>
          <w:rFonts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2.本合同服务期限为：2026年   月   日至2027年   月   日。</w:t>
      </w:r>
      <w:r>
        <w:rPr>
          <w:rFonts w:ascii="仿宋" w:hAnsi="仿宋" w:eastAsia="仿宋" w:cs="仿宋"/>
          <w:b/>
          <w:bCs/>
          <w:color w:val="000000"/>
          <w:sz w:val="21"/>
          <w:szCs w:val="21"/>
          <w:highlight w:val="none"/>
          <w:lang w:val="en-US" w:eastAsia="zh-CN"/>
        </w:rPr>
      </w:r>
      <w:r/>
    </w:p>
    <w:p>
      <w:pPr>
        <w:pStyle w:val="1032"/>
        <w:numPr>
          <w:ilvl w:val="0"/>
          <w:numId w:val="0"/>
        </w:numPr>
        <w:ind w:firstLine="422"/>
        <w:jc w:val="both"/>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第三条 组成本合同的有关文件</w:t>
      </w:r>
      <w:r>
        <w:rPr>
          <w:rFonts w:hint="eastAsia" w:ascii="仿宋" w:hAnsi="仿宋" w:eastAsia="仿宋" w:cs="仿宋"/>
          <w:b/>
          <w:bCs/>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下列关于本次采购活动方式相适应的文件及有关附件是本合同不可分割的组成部分，与本合同具有同等法律效力，这些文件包括但不限于:</w:t>
      </w:r>
      <w:r>
        <w:rPr>
          <w:rFonts w:hint="eastAsia" w:ascii="仿宋" w:hAnsi="仿宋" w:eastAsia="仿宋" w:cs="仿宋"/>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1.采购文件；</w:t>
      </w:r>
      <w:r>
        <w:rPr>
          <w:rFonts w:hint="eastAsia" w:ascii="仿宋" w:hAnsi="仿宋" w:eastAsia="仿宋" w:cs="仿宋"/>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2.响应文件；</w:t>
      </w:r>
      <w:r>
        <w:rPr>
          <w:rFonts w:hint="eastAsia" w:ascii="仿宋" w:hAnsi="仿宋" w:eastAsia="仿宋" w:cs="仿宋"/>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3.中标（成交）通知书；</w:t>
      </w:r>
      <w:r>
        <w:rPr>
          <w:rFonts w:hint="eastAsia" w:ascii="仿宋" w:hAnsi="仿宋" w:eastAsia="仿宋" w:cs="仿宋"/>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4.甲方</w:t>
      </w:r>
      <w:r>
        <w:rPr>
          <w:rFonts w:hint="eastAsia" w:ascii="仿宋" w:hAnsi="仿宋" w:eastAsia="仿宋" w:cs="仿宋"/>
          <w:color w:val="000000"/>
          <w:sz w:val="21"/>
          <w:szCs w:val="21"/>
          <w:highlight w:val="none"/>
        </w:rPr>
        <w:t xml:space="preserve">提供</w:t>
      </w:r>
      <w:r>
        <w:rPr>
          <w:rFonts w:hint="eastAsia" w:ascii="仿宋" w:hAnsi="仿宋" w:eastAsia="仿宋" w:cs="仿宋"/>
          <w:color w:val="000000"/>
          <w:sz w:val="21"/>
          <w:szCs w:val="21"/>
          <w:highlight w:val="none"/>
          <w:lang w:eastAsia="zh-CN"/>
        </w:rPr>
        <w:t xml:space="preserve">的</w:t>
      </w:r>
      <w:r>
        <w:rPr>
          <w:rFonts w:hint="eastAsia" w:ascii="仿宋" w:hAnsi="仿宋" w:eastAsia="仿宋" w:cs="仿宋"/>
          <w:color w:val="000000"/>
          <w:sz w:val="21"/>
          <w:szCs w:val="21"/>
          <w:highlight w:val="none"/>
        </w:rPr>
        <w:t xml:space="preserve">设施、设备</w:t>
      </w:r>
      <w:r>
        <w:rPr>
          <w:rFonts w:hint="eastAsia" w:ascii="仿宋" w:hAnsi="仿宋" w:eastAsia="仿宋" w:cs="仿宋"/>
          <w:color w:val="000000"/>
          <w:sz w:val="21"/>
          <w:szCs w:val="21"/>
          <w:highlight w:val="none"/>
          <w:lang w:eastAsia="zh-CN"/>
        </w:rPr>
        <w:t xml:space="preserve">清单</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5.乙方在投标过程中所作的其它有关承诺、声明、书面澄清；</w:t>
      </w:r>
      <w:r>
        <w:rPr>
          <w:rFonts w:hint="eastAsia" w:ascii="仿宋" w:hAnsi="仿宋" w:eastAsia="仿宋" w:cs="仿宋"/>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6.甲乙双方商定的其他文件等。</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0"/>
      </w:pPr>
      <w:r/>
      <w:bookmarkStart w:id="822" w:name="_Toc32431"/>
      <w:r>
        <w:rPr>
          <w:rFonts w:hint="eastAsia" w:ascii="仿宋" w:hAnsi="仿宋" w:eastAsia="仿宋" w:cs="仿宋"/>
          <w:b/>
          <w:bCs/>
          <w:color w:val="000000"/>
          <w:sz w:val="21"/>
          <w:szCs w:val="21"/>
          <w:highlight w:val="none"/>
          <w:lang w:val="en-US" w:eastAsia="zh-CN"/>
        </w:rPr>
        <w:t xml:space="preserve">第四条 </w:t>
      </w:r>
      <w:r>
        <w:rPr>
          <w:rFonts w:hint="eastAsia" w:ascii="仿宋" w:hAnsi="仿宋" w:eastAsia="仿宋" w:cs="仿宋"/>
          <w:b/>
          <w:color w:val="000000"/>
          <w:sz w:val="21"/>
          <w:szCs w:val="21"/>
          <w:highlight w:val="none"/>
        </w:rPr>
        <w:t xml:space="preserve">结算方式</w:t>
      </w:r>
      <w:bookmarkEnd w:id="822"/>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1.结算周期及流程：双方</w:t>
      </w:r>
      <w:r>
        <w:rPr>
          <w:rFonts w:hint="eastAsia" w:ascii="仿宋" w:hAnsi="仿宋" w:eastAsia="仿宋" w:cs="仿宋"/>
          <w:color w:val="000000"/>
          <w:sz w:val="21"/>
          <w:szCs w:val="21"/>
          <w:highlight w:val="none"/>
          <w:lang w:val="en-US" w:eastAsia="zh-CN"/>
        </w:rPr>
        <w:t xml:space="preserve">在</w:t>
      </w:r>
      <w:r>
        <w:rPr>
          <w:rFonts w:hint="eastAsia" w:ascii="仿宋" w:hAnsi="仿宋" w:eastAsia="仿宋" w:cs="仿宋"/>
          <w:color w:val="000000"/>
          <w:sz w:val="21"/>
          <w:szCs w:val="21"/>
          <w:highlight w:val="none"/>
        </w:rPr>
        <w:t xml:space="preserve">每月10日前（遇节假日顺延），核对上月实际用餐数据（含用餐人数、用餐次数、用餐标准等），确认无误后签署《月度用餐结算确认单》；</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需在签署确认单后3个工作日内，向</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开具合格的增值税发票，</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在收到合格发票后支付上月结算费用。满足合同约定支付条件的，自收到发票后10个工作日内支付。因</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未及时提供发票及所需材料导致相应后果的，</w:t>
      </w:r>
      <w:r>
        <w:rPr>
          <w:rFonts w:hint="eastAsia" w:ascii="仿宋" w:hAnsi="仿宋" w:eastAsia="仿宋" w:cs="仿宋"/>
          <w:color w:val="000000"/>
          <w:sz w:val="21"/>
          <w:szCs w:val="21"/>
          <w:highlight w:val="none"/>
          <w:lang w:val="en-US" w:eastAsia="zh-CN"/>
        </w:rPr>
        <w:t xml:space="preserve">甲方</w:t>
      </w:r>
      <w:r>
        <w:rPr>
          <w:rFonts w:hint="eastAsia" w:ascii="仿宋" w:hAnsi="仿宋" w:eastAsia="仿宋" w:cs="仿宋"/>
          <w:color w:val="000000"/>
          <w:sz w:val="21"/>
          <w:szCs w:val="21"/>
          <w:highlight w:val="none"/>
        </w:rPr>
        <w:t xml:space="preserve">不承担任何责任。</w:t>
      </w:r>
      <w:r>
        <w:rPr>
          <w:rFonts w:hint="eastAsia" w:ascii="仿宋" w:hAnsi="仿宋" w:eastAsia="仿宋" w:cs="仿宋"/>
          <w:color w:val="000000"/>
          <w:sz w:val="21"/>
          <w:szCs w:val="21"/>
          <w:highlight w:val="none"/>
          <w:lang w:val="en-US" w:eastAsia="zh-CN"/>
        </w:rPr>
        <w:t xml:space="preserve">年度结算金额不得高于45万元，高出部分不予结算。</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：暂留2个月结算费用作为</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，合同履行期满，且</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无违约行为、无未结清费用、资产移交合格后，</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在15个工作日内将</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无息退还</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color w:val="000000"/>
          <w:sz w:val="21"/>
          <w:szCs w:val="21"/>
          <w:highlight w:val="none"/>
        </w:rPr>
        <w:t xml:space="preserve">3.水电费结算：水电费按实际发生额每月结算一次，由</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代为缴纳</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需在收到</w:t>
      </w:r>
      <w:r>
        <w:rPr>
          <w:rFonts w:hint="eastAsia" w:ascii="仿宋" w:hAnsi="仿宋" w:eastAsia="仿宋" w:cs="仿宋"/>
          <w:color w:val="000000"/>
          <w:sz w:val="21"/>
          <w:szCs w:val="21"/>
          <w:highlight w:val="none"/>
          <w:lang w:val="en-US" w:eastAsia="zh-CN"/>
        </w:rPr>
        <w:t xml:space="preserve">甲方的</w:t>
      </w:r>
      <w:r>
        <w:rPr>
          <w:rFonts w:hint="eastAsia" w:ascii="仿宋" w:hAnsi="仿宋" w:eastAsia="仿宋" w:cs="仿宋"/>
          <w:color w:val="000000"/>
          <w:sz w:val="21"/>
          <w:szCs w:val="21"/>
          <w:highlight w:val="none"/>
        </w:rPr>
        <w:t xml:space="preserve">缴费凭证后3个工作日内，将水电费足额支付给</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lang w:val="en-US" w:eastAsia="zh-CN"/>
        </w:rPr>
        <w:t xml:space="preserve">或从应结算费用中扣除</w:t>
      </w:r>
      <w:r>
        <w:rPr>
          <w:rFonts w:hint="eastAsia" w:ascii="仿宋" w:hAnsi="仿宋" w:eastAsia="仿宋" w:cs="仿宋"/>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0"/>
      </w:pPr>
      <w:r/>
      <w:bookmarkStart w:id="823" w:name="_Toc8315"/>
      <w:r>
        <w:rPr>
          <w:rFonts w:hint="eastAsia" w:ascii="仿宋" w:hAnsi="仿宋" w:eastAsia="仿宋" w:cs="仿宋"/>
          <w:b/>
          <w:bCs/>
          <w:color w:val="000000"/>
          <w:sz w:val="21"/>
          <w:szCs w:val="21"/>
          <w:highlight w:val="none"/>
          <w:lang w:val="en-US" w:eastAsia="zh-CN"/>
        </w:rPr>
        <w:t xml:space="preserve">第五条 </w:t>
      </w:r>
      <w:r>
        <w:rPr>
          <w:rFonts w:hint="eastAsia" w:ascii="仿宋" w:hAnsi="仿宋" w:eastAsia="仿宋" w:cs="仿宋"/>
          <w:b/>
          <w:color w:val="000000"/>
          <w:sz w:val="21"/>
          <w:szCs w:val="21"/>
          <w:highlight w:val="none"/>
        </w:rPr>
        <w:t xml:space="preserve">用餐标准及相关约定</w:t>
      </w:r>
      <w:bookmarkEnd w:id="823"/>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color w:val="000000"/>
          <w:sz w:val="21"/>
          <w:szCs w:val="21"/>
          <w:highlight w:val="none"/>
        </w:rPr>
        <w:outlineLvl w:val="1"/>
      </w:pPr>
      <w:r>
        <w:rPr>
          <w:rFonts w:hint="eastAsia" w:ascii="仿宋" w:hAnsi="仿宋" w:eastAsia="仿宋" w:cs="仿宋"/>
          <w:b/>
          <w:color w:val="000000"/>
          <w:sz w:val="21"/>
          <w:szCs w:val="21"/>
          <w:highlight w:val="none"/>
        </w:rPr>
        <w:t xml:space="preserve">（一）用餐清单及标准</w:t>
      </w:r>
      <w:r>
        <w:rPr>
          <w:rFonts w:hint="eastAsia" w:ascii="仿宋" w:hAnsi="仿宋" w:eastAsia="仿宋" w:cs="仿宋"/>
          <w:b/>
          <w:color w:val="000000"/>
          <w:sz w:val="21"/>
          <w:szCs w:val="21"/>
          <w:highlight w:val="none"/>
        </w:rPr>
      </w:r>
      <w:r/>
    </w:p>
    <w:tbl>
      <w:tblPr>
        <w:tblW w:w="10799" w:type="dxa"/>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504"/>
        <w:gridCol w:w="1176"/>
        <w:gridCol w:w="1559"/>
        <w:gridCol w:w="1519"/>
        <w:gridCol w:w="912"/>
        <w:gridCol w:w="1500"/>
        <w:gridCol w:w="1212"/>
        <w:gridCol w:w="2417"/>
      </w:tblGrid>
      <w:tr>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用餐时间</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预估用餐人数（人）</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结算</w:t>
            </w:r>
            <w:r>
              <w:rPr>
                <w:rFonts w:hint="eastAsia" w:ascii="仿宋" w:hAnsi="仿宋" w:eastAsia="仿宋" w:cs="仿宋"/>
                <w:color w:val="000000"/>
                <w:sz w:val="21"/>
                <w:szCs w:val="21"/>
                <w:highlight w:val="none"/>
              </w:rPr>
              <w:t xml:space="preserve">标准</w:t>
            </w:r>
            <w:r>
              <w:rPr>
                <w:rFonts w:hint="eastAsia" w:ascii="仿宋" w:hAnsi="仿宋" w:eastAsia="仿宋" w:cs="仿宋"/>
                <w:color w:val="000000"/>
                <w:sz w:val="21"/>
                <w:szCs w:val="21"/>
                <w:highlight w:val="none"/>
              </w:rPr>
            </w:r>
            <w:r/>
          </w:p>
          <w:p>
            <w:pPr>
              <w:pStyle w:val="1032"/>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（元/人/餐）</w:t>
            </w:r>
            <w:r>
              <w:rPr>
                <w:rFonts w:hint="eastAsia"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优惠率（%)</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菜品</w:t>
            </w:r>
            <w:r>
              <w:rPr>
                <w:rFonts w:hint="eastAsia" w:ascii="仿宋" w:hAnsi="仿宋" w:eastAsia="仿宋" w:cs="仿宋"/>
                <w:color w:val="000000"/>
                <w:sz w:val="21"/>
                <w:szCs w:val="21"/>
                <w:highlight w:val="none"/>
              </w:rPr>
              <w:t xml:space="preserve">标准</w:t>
            </w:r>
            <w:r>
              <w:rPr>
                <w:rFonts w:hint="eastAsia" w:ascii="仿宋" w:hAnsi="仿宋" w:eastAsia="仿宋" w:cs="仿宋"/>
                <w:color w:val="000000"/>
                <w:sz w:val="21"/>
                <w:szCs w:val="21"/>
                <w:highlight w:val="none"/>
              </w:rPr>
            </w:r>
            <w:r/>
          </w:p>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（元/人/餐）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用餐天数</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天/月）</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备注</w:t>
            </w:r>
            <w:r>
              <w:rPr>
                <w:rFonts w:hint="eastAsia" w:ascii="仿宋" w:hAnsi="仿宋" w:eastAsia="仿宋" w:cs="仿宋"/>
                <w:color w:val="000000"/>
                <w:sz w:val="21"/>
                <w:szCs w:val="21"/>
                <w:highlight w:val="none"/>
              </w:rPr>
            </w:r>
            <w:r/>
          </w:p>
        </w:tc>
      </w:tr>
      <w:tr>
        <w:trPr>
          <w:trHeight w:val="516"/>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早餐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30</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对值班职工提供，可对全体职工开放</w:t>
            </w:r>
            <w:r>
              <w:rPr>
                <w:rFonts w:hint="eastAsia" w:ascii="仿宋" w:hAnsi="仿宋" w:eastAsia="仿宋" w:cs="仿宋"/>
                <w:color w:val="000000"/>
                <w:sz w:val="21"/>
                <w:szCs w:val="21"/>
                <w:highlight w:val="none"/>
              </w:rPr>
            </w:r>
            <w:r/>
          </w:p>
        </w:tc>
      </w:tr>
      <w:tr>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中餐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90</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15</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全体职工主要用餐时段</w:t>
            </w:r>
            <w:r>
              <w:rPr>
                <w:rFonts w:hint="eastAsia" w:ascii="仿宋" w:hAnsi="仿宋" w:eastAsia="仿宋" w:cs="仿宋"/>
                <w:color w:val="000000"/>
                <w:sz w:val="21"/>
                <w:szCs w:val="21"/>
                <w:highlight w:val="none"/>
              </w:rPr>
            </w:r>
            <w:r/>
          </w:p>
        </w:tc>
      </w:tr>
      <w:tr>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晚餐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15</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30</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对值班职工提供</w:t>
            </w:r>
            <w:r>
              <w:rPr>
                <w:rFonts w:hint="eastAsia" w:ascii="仿宋" w:hAnsi="仿宋" w:eastAsia="仿宋" w:cs="仿宋"/>
                <w:color w:val="000000"/>
                <w:sz w:val="21"/>
                <w:szCs w:val="21"/>
                <w:highlight w:val="none"/>
              </w:rPr>
            </w:r>
            <w:r/>
          </w:p>
        </w:tc>
      </w:tr>
    </w:tbl>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（二）伙食具体要求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1.职工用餐要求：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（1）早餐：提供粥类、牛奶、包子、生煎、麻糕、油条、煮鸡蛋等品类中任意3样，保障值班职工用餐需求，可向全体职工开放供应。</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（2）中餐、晚餐：每餐</w:t>
      </w:r>
      <w:r>
        <w:rPr>
          <w:rFonts w:hint="eastAsia" w:ascii="仿宋" w:hAnsi="仿宋" w:eastAsia="仿宋" w:cs="仿宋"/>
          <w:color w:val="000000"/>
          <w:sz w:val="21"/>
          <w:szCs w:val="21"/>
          <w:highlight w:val="none"/>
          <w:lang w:val="en-US" w:eastAsia="zh-CN"/>
        </w:rPr>
        <w:t xml:space="preserve">标准</w:t>
      </w:r>
      <w:r>
        <w:rPr>
          <w:rFonts w:hint="eastAsia" w:ascii="仿宋" w:hAnsi="仿宋" w:eastAsia="仿宋" w:cs="仿宋"/>
          <w:color w:val="000000"/>
          <w:sz w:val="21"/>
          <w:szCs w:val="21"/>
          <w:highlight w:val="none"/>
        </w:rPr>
        <w:t xml:space="preserve">提供不少于</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1大荤</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1小荤</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2素菜</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1汤</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；食堂需提前公示职工一周菜谱，中餐及晚餐菜谱不得重复。菜肴品种丰富，定期更新菜品，积极创新菜肴品种，根据季节变化推出适宜菜品。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（3）自行点餐标准：同类性质冷菜价格≤裕芳斋冷菜价，热菜价格≤舅婆家热菜价，价格需公示。</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在确保上述就餐正常供应后，可根据职工和患者、家属需要兼营小炒、点心等，承接中心临时接待、检修人员工作餐等少量餐饮服务。</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三）</w:t>
      </w:r>
      <w:r>
        <w:rPr>
          <w:rFonts w:hint="eastAsia" w:ascii="仿宋" w:hAnsi="仿宋" w:eastAsia="仿宋" w:cs="仿宋"/>
          <w:b/>
          <w:bCs/>
          <w:color w:val="000000"/>
          <w:sz w:val="21"/>
          <w:szCs w:val="21"/>
          <w:highlight w:val="none"/>
        </w:rPr>
        <w:t xml:space="preserve">职工饭卡管理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职工用餐人数合计约100人，职工饭卡每月固定充值330元，按每年12个月计算，饭卡内金额仅限在食堂用餐消费，年底清零。</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w:t>
      </w:r>
      <w:r>
        <w:rPr>
          <w:rFonts w:hint="eastAsia" w:ascii="仿宋" w:hAnsi="仿宋" w:eastAsia="仿宋" w:cs="仿宋"/>
          <w:b/>
          <w:color w:val="000000"/>
          <w:sz w:val="21"/>
          <w:szCs w:val="21"/>
          <w:highlight w:val="none"/>
          <w:lang w:val="en-US" w:eastAsia="zh-CN"/>
        </w:rPr>
        <w:t xml:space="preserve">四</w:t>
      </w:r>
      <w:r>
        <w:rPr>
          <w:rFonts w:hint="eastAsia" w:ascii="仿宋" w:hAnsi="仿宋" w:eastAsia="仿宋" w:cs="仿宋"/>
          <w:b/>
          <w:color w:val="000000"/>
          <w:sz w:val="21"/>
          <w:szCs w:val="21"/>
          <w:highlight w:val="none"/>
        </w:rPr>
        <w:t xml:space="preserve">）用餐标准费用组成</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本项目用餐标准费用为固定包干</w:t>
      </w:r>
      <w:r>
        <w:rPr>
          <w:rFonts w:hint="eastAsia" w:ascii="仿宋" w:hAnsi="仿宋" w:eastAsia="仿宋" w:cs="仿宋"/>
          <w:color w:val="000000"/>
          <w:sz w:val="21"/>
          <w:szCs w:val="21"/>
          <w:highlight w:val="none"/>
          <w:lang w:val="en-US" w:eastAsia="zh-CN"/>
        </w:rPr>
        <w:t xml:space="preserve">单</w:t>
      </w:r>
      <w:r>
        <w:rPr>
          <w:rFonts w:hint="eastAsia" w:ascii="仿宋" w:hAnsi="仿宋" w:eastAsia="仿宋" w:cs="仿宋"/>
          <w:color w:val="000000"/>
          <w:sz w:val="21"/>
          <w:szCs w:val="21"/>
          <w:highlight w:val="none"/>
        </w:rPr>
        <w:t xml:space="preserve">价</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用餐标准费用</w:t>
      </w:r>
      <w:r>
        <w:rPr>
          <w:rFonts w:hint="eastAsia" w:ascii="仿宋" w:hAnsi="仿宋" w:eastAsia="仿宋" w:cs="仿宋"/>
          <w:color w:val="000000"/>
          <w:sz w:val="21"/>
          <w:szCs w:val="21"/>
          <w:highlight w:val="none"/>
          <w:lang w:val="en-US" w:eastAsia="zh-CN"/>
        </w:rPr>
        <w:t xml:space="preserve">单价</w:t>
      </w:r>
      <w:r>
        <w:rPr>
          <w:rFonts w:hint="eastAsia" w:ascii="仿宋" w:hAnsi="仿宋" w:eastAsia="仿宋" w:cs="仿宋"/>
          <w:color w:val="000000"/>
          <w:sz w:val="21"/>
          <w:szCs w:val="21"/>
          <w:highlight w:val="none"/>
        </w:rPr>
        <w:t xml:space="preserve">已包含完成本项目用餐服务所涉及的全部费用，无任何隐形费用，具体包括但不限于：</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1.人力成本：食堂所有工作人员的工资、奖金、福利、法定节假日加班费、社会保险（五险）、人身意外险/公众责任险等全部费用</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2.食材及辅料成本：食材、调味品、食用油、粮食、蔬菜、肉类、水产等原材料，以及洗涤用品、消毒用品、一次性餐具等各类辅材费用</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3.运营及管理成本：食堂水电费用、燃气费用（如有）、设施设备日常维护维修费用、油烟管道及净化器清洗费用、各类检验检测费用、管道疏通费用等</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4.合规及风险成本：办理经营所需证照的相关费用、环保处置费用、应对各类检查的相关费用，以及食品安全、安全生产、劳资纠纷等各类风险产生的费用</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5.其他费用：菜品留样、台账记录、电子化宣传、食堂环境卫生整治等相关费用，以及</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为完成本项目服务所需的其他全部费用。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采购文件明确包含的费用、风险费、政策性文件规定的各项应有费用，以及完成本采购需求规定服务内容所涉及的一切相关费用，均由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不再支付任何额外费用；采购文件未列明但</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认为必需的费用，亦包含在用餐标准内，</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不另行增加费用。各类风险和政策性调整等风险已涵盖在用餐标准中，除合同约定调整外，最终结算时一律不调整用餐标准。</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0"/>
      </w:pPr>
      <w:r/>
      <w:bookmarkStart w:id="824" w:name="_Toc15312"/>
      <w:r>
        <w:rPr>
          <w:rFonts w:hint="eastAsia" w:ascii="仿宋" w:hAnsi="仿宋" w:eastAsia="仿宋" w:cs="仿宋"/>
          <w:b/>
          <w:color w:val="000000"/>
          <w:sz w:val="21"/>
          <w:szCs w:val="21"/>
          <w:highlight w:val="none"/>
          <w:lang w:val="en-US" w:eastAsia="zh-CN"/>
        </w:rPr>
        <w:t xml:space="preserve">第六条 </w:t>
      </w:r>
      <w:r>
        <w:rPr>
          <w:rFonts w:hint="eastAsia" w:ascii="仿宋" w:hAnsi="仿宋" w:eastAsia="仿宋" w:cs="仿宋"/>
          <w:b/>
          <w:color w:val="000000"/>
          <w:sz w:val="21"/>
          <w:szCs w:val="21"/>
          <w:highlight w:val="none"/>
        </w:rPr>
        <w:t xml:space="preserve">服务要求</w:t>
      </w:r>
      <w:bookmarkEnd w:id="824"/>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（一）供餐时间要求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1.早餐：7:00-7:30</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2.中餐：10:45-12:00</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3.晚餐：16:45-17:15</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严格遵守上述供餐时间，不得擅自提前；确保每餐饭菜在规定供餐时间前10分钟准备就绪，菜品温度符合规范（热菜温度≥60℃，汤品温度≥70℃）；因特殊情况（如食材采购延误、设备故障等）需调整供餐时间的，</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需提前30分钟书面报备</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相关负责人，经同意后方可调整，并及时通知就餐职工，避免影响职工就餐。</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（二）人员要求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1.用工管理：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拥有依法自主用工权，用工安全及相关风险全部由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自负；</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自行安排食堂工作人员，负责员工工资、福利等全部费用，</w:t>
      </w:r>
      <w:r>
        <w:rPr>
          <w:rFonts w:hint="eastAsia" w:ascii="仿宋" w:hAnsi="仿宋" w:eastAsia="仿宋" w:cs="仿宋"/>
          <w:color w:val="000000"/>
          <w:sz w:val="21"/>
          <w:szCs w:val="21"/>
          <w:highlight w:val="none"/>
          <w:lang w:val="en-US" w:eastAsia="zh-CN"/>
        </w:rPr>
        <w:t xml:space="preserve">乙方应严格按照《劳动法》《劳动合同法》等相关法律法规的规定，规范用工并按时足额支付职工薪酬，确保符合属地最低工资标准和社会保险缴费等要求，以保障用工合法性、保护员工合法权益。</w:t>
      </w:r>
      <w:r>
        <w:rPr>
          <w:rFonts w:hint="eastAsia" w:ascii="仿宋" w:hAnsi="仿宋" w:eastAsia="仿宋" w:cs="仿宋"/>
          <w:color w:val="000000"/>
          <w:sz w:val="21"/>
          <w:szCs w:val="21"/>
          <w:highlight w:val="none"/>
        </w:rPr>
        <w:t xml:space="preserve">必须为员工购买人身意外险或公众责任险等商业保险，否则一切后果由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自行承担。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2）服务期内，甲方支付的用餐标准费用不予调增。乙方员工因社保、工资、福利等问题产生的纠纷和发生职业暴露、工伤、疾病乃至死亡的一切责任及费用均由乙方全部负责，甲方不承担与此相关的责任。</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乙方需保证服务期间员工队伍的稳定，不得因用工问题影响合同履行。应建立与员工争议的有效投诉处理机制，确保发生用工矛盾、员工维权等问题的，能够及时予以解决，不得影响合同正常履行。若产生重大法律纠纷、影响合同正常履行等情形的，甲方有权提前解除合同，对甲方造成影响和损失的，甲方有权向乙方追偿。</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2.健康要求：所有饮食从业人员必须按照《食品安全法》规定，每年进行健康检查，取得有效健康证后方可持证上岗，健康证需定期复核并公示。</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3.项目负责人：需具备食品营养相关专业、行政管理专业背景，或具有食品相关行业从业经验，能够全面负责食堂运营管理工作。项目负责人需全职在岗，不得兼任其他项目工作，如需请假，需提前书面报备</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，指定临时负责人并做好工作交接，确保食堂运营不受影响。</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4.工作人员</w:t>
      </w:r>
      <w:r>
        <w:rPr>
          <w:rFonts w:hint="eastAsia" w:ascii="仿宋" w:hAnsi="仿宋" w:eastAsia="仿宋" w:cs="仿宋"/>
          <w:color w:val="000000"/>
          <w:sz w:val="21"/>
          <w:szCs w:val="21"/>
          <w:highlight w:val="none"/>
          <w:lang w:val="en-US" w:eastAsia="zh-CN"/>
        </w:rPr>
        <w:t xml:space="preserve">资历</w:t>
      </w:r>
      <w:r>
        <w:rPr>
          <w:rFonts w:hint="eastAsia" w:ascii="仿宋" w:hAnsi="仿宋" w:eastAsia="仿宋" w:cs="仿宋"/>
          <w:color w:val="000000"/>
          <w:sz w:val="21"/>
          <w:szCs w:val="21"/>
          <w:highlight w:val="none"/>
        </w:rPr>
        <w:t xml:space="preserve">：厨师需熟练掌握主要菜系制作、主要面点制作及相关</w:t>
      </w:r>
      <w:r>
        <w:rPr>
          <w:rFonts w:hint="eastAsia" w:ascii="仿宋" w:hAnsi="仿宋" w:eastAsia="仿宋" w:cs="仿宋"/>
          <w:color w:val="000000"/>
          <w:sz w:val="21"/>
          <w:szCs w:val="21"/>
          <w:highlight w:val="none"/>
          <w:lang w:val="en-US" w:eastAsia="zh-CN"/>
        </w:rPr>
        <w:t xml:space="preserve">食材营养</w:t>
      </w:r>
      <w:r>
        <w:rPr>
          <w:rFonts w:hint="eastAsia" w:ascii="仿宋" w:hAnsi="仿宋" w:eastAsia="仿宋" w:cs="仿宋"/>
          <w:color w:val="000000"/>
          <w:sz w:val="21"/>
          <w:szCs w:val="21"/>
          <w:highlight w:val="none"/>
        </w:rPr>
        <w:t xml:space="preserve">配制方法；其他服务人员需具备相应工作经验，持证上岗；</w:t>
      </w:r>
      <w:r>
        <w:rPr>
          <w:rFonts w:hint="eastAsia" w:ascii="仿宋" w:hAnsi="仿宋" w:eastAsia="仿宋" w:cs="仿宋"/>
          <w:color w:val="000000"/>
          <w:sz w:val="21"/>
          <w:szCs w:val="21"/>
          <w:highlight w:val="none"/>
          <w:lang w:eastAsia="zh-CN"/>
        </w:rPr>
        <w:t xml:space="preserve">配备卫生安全监督员，专门负责本食堂加工制作过程的卫生和安全监督工作；</w:t>
      </w:r>
      <w:r>
        <w:rPr>
          <w:rFonts w:hint="eastAsia" w:ascii="仿宋" w:hAnsi="仿宋" w:eastAsia="仿宋" w:cs="仿宋"/>
          <w:color w:val="000000"/>
          <w:sz w:val="21"/>
          <w:szCs w:val="21"/>
          <w:highlight w:val="none"/>
        </w:rPr>
        <w:t xml:space="preserve">人员配置需满足实际供餐服务需求，不得影响正常供餐。</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（三）食品安全与安全生产要求</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1.食品安全管理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（1）建立健全食品安全责任制，</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需与</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签订安全责任书，严格按照《中华人民共和国食品安全法》《产品质量法》及</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相关要求组织生产经营，提供安全合格食品；若因</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原因引发食品安全事故，造成的一切损失及后果均由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（2）建立内部安全监督管理体系，配备专业食品卫生质量监督员，所有员工需与</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签订卫生安全责任书，将卫生安全责任落实到个人。</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（3）建立食品安全预警制度，所有相关制度需张贴上墙；出现食品安全相关问题时，需及时向</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和相关部门报告，并采取有效急救措施，最大限度降低损失。</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严格食品安全管理，贯彻食品安全管理规定，遵循食品安全管理要求。做好蔬菜农药残留检测及记录，不得不检或漏检，不得不记录或记录不全；做好食品留样及记录工作，不得不留或漏留，不得不记录或记录不全；按规定使用调味品及添加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严格执行食品留样制度，</w:t>
      </w:r>
      <w:r>
        <w:rPr>
          <w:rFonts w:hint="eastAsia" w:ascii="仿宋" w:hAnsi="仿宋" w:eastAsia="仿宋" w:cs="仿宋"/>
          <w:color w:val="000000"/>
          <w:sz w:val="21"/>
          <w:szCs w:val="21"/>
          <w:highlight w:val="none"/>
          <w:lang w:eastAsia="zh-CN"/>
        </w:rPr>
        <w:t xml:space="preserve">按食堂安全卫生管理要求，做好每天的食品留样和蔬菜有机磷检测，并做好台帐登记和管理工作。</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2.安全生产管理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加强安全生产教育培训，杜绝安全隐患；做好水电管理，落实相应安全生产措施，严守设备操作流程；生熟食品及加工用具分类放置，防止交叉污染；无关人员严禁进入厨房及保管室；易燃易爆物品按规定存放，工作人员离开厨房前，需妥善放置各类食品，关好门窗，检查电源开关、设备、炉灶等，做好防火、防盗、防毒工作，杜绝意外事故发生。</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（2）严格遵守《安全生产法》相关规定，若发生重大安全事故、设备设施损坏、人身事故，一切后果由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（3）每年组织开展停电停水、食物中毒、消防演练等应急预案培训，并做好完整台账记录。</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4）服务期间，乙方对员工的安全负责，如因安全作业或安全预防措施不到位，造成的一切安全责任由乙方承担，与甲方无关。</w:t>
      </w:r>
      <w:r>
        <w:rPr>
          <w:rFonts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（四）经营管理要求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1.制度建设：</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需在开展经营后1个月内，</w:t>
      </w:r>
      <w:r>
        <w:rPr>
          <w:rFonts w:hint="eastAsia" w:ascii="仿宋" w:hAnsi="仿宋" w:eastAsia="仿宋" w:cs="仿宋"/>
          <w:color w:val="000000"/>
          <w:sz w:val="21"/>
          <w:szCs w:val="21"/>
          <w:highlight w:val="none"/>
          <w:lang w:eastAsia="zh-CN"/>
        </w:rPr>
        <w:t xml:space="preserve">建立健全各类餐饮卫生管理制度</w:t>
      </w:r>
      <w:r>
        <w:rPr>
          <w:rFonts w:hint="eastAsia" w:ascii="仿宋" w:hAnsi="仿宋" w:eastAsia="仿宋" w:cs="仿宋"/>
          <w:color w:val="000000"/>
          <w:sz w:val="21"/>
          <w:szCs w:val="21"/>
          <w:highlight w:val="none"/>
        </w:rPr>
        <w:t xml:space="preserve">、安全操作规程、各环节岗位责任制等管理制度，并严格执行。</w:t>
      </w:r>
      <w:r>
        <w:rPr>
          <w:rFonts w:hint="eastAsia" w:ascii="仿宋" w:hAnsi="仿宋" w:eastAsia="仿宋" w:cs="仿宋"/>
          <w:color w:val="000000"/>
          <w:sz w:val="21"/>
          <w:szCs w:val="21"/>
          <w:highlight w:val="none"/>
          <w:lang w:eastAsia="zh-CN"/>
        </w:rPr>
        <w:t xml:space="preserve">加强从业人员的培训与管理，严把员工素质关，做到管理规范化、服务标准化，杜绝任何食品安全卫生责任事故的发生。</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2.成本与价格管理：</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需遵循双方共同确立的“利润率指导价格”原则，为医护人员提供大众餐饮、特色餐饮等服务，为少量病患提供病员餐饮等服务。</w:t>
      </w:r>
      <w:r>
        <w:rPr>
          <w:rFonts w:hint="eastAsia" w:ascii="仿宋" w:hAnsi="仿宋" w:eastAsia="仿宋" w:cs="仿宋"/>
          <w:color w:val="000000"/>
          <w:sz w:val="21"/>
          <w:szCs w:val="21"/>
          <w:highlight w:val="none"/>
          <w:lang w:val="en-US" w:eastAsia="zh-CN"/>
        </w:rPr>
        <w:t xml:space="preserve">厨房工程类的非乙方责任所造成的维修费用由甲方协商解决。</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3.费用承担：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（1）食堂运营期间，厨房设备类、工程类维修费、各项检验检测费、油烟管道和油烟分离器清洗费、油烟处置费、管道疏通费等，均由</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承担（不可抗力引起的损坏除外）。</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除现有餐具外，合同履行期限内</w:t>
      </w:r>
      <w:r>
        <w:rPr>
          <w:rFonts w:hint="eastAsia" w:ascii="仿宋" w:hAnsi="仿宋" w:eastAsia="仿宋" w:cs="仿宋"/>
          <w:color w:val="000000"/>
          <w:sz w:val="21"/>
          <w:szCs w:val="21"/>
          <w:highlight w:val="none"/>
        </w:rPr>
        <w:t xml:space="preserve">食堂用餐餐具、洗涤用品、卫生用品等所有易耗品，由</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提供并承担相关费用。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（3）食堂工作人员的招聘、管理、工资、福利、法定节假日加班费等，由</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val="en-US" w:eastAsia="zh-CN"/>
        </w:rPr>
        <w:t xml:space="preserve">合同履行期限内</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满足市场监督管理</w:t>
      </w:r>
      <w:r>
        <w:rPr>
          <w:rFonts w:hint="eastAsia" w:ascii="仿宋" w:hAnsi="仿宋" w:eastAsia="仿宋" w:cs="仿宋"/>
          <w:color w:val="000000"/>
          <w:sz w:val="21"/>
          <w:szCs w:val="21"/>
          <w:highlight w:val="none"/>
        </w:rPr>
        <w:t xml:space="preserve">、卫生、</w:t>
      </w:r>
      <w:r>
        <w:rPr>
          <w:rFonts w:hint="eastAsia" w:ascii="仿宋" w:hAnsi="仿宋" w:eastAsia="仿宋" w:cs="仿宋"/>
          <w:color w:val="000000"/>
          <w:sz w:val="21"/>
          <w:szCs w:val="21"/>
          <w:highlight w:val="none"/>
          <w:lang w:val="en-US" w:eastAsia="zh-CN"/>
        </w:rPr>
        <w:t xml:space="preserve">安全、</w:t>
      </w:r>
      <w:r>
        <w:rPr>
          <w:rFonts w:hint="eastAsia" w:ascii="仿宋" w:hAnsi="仿宋" w:eastAsia="仿宋" w:cs="仿宋"/>
          <w:color w:val="000000"/>
          <w:sz w:val="21"/>
          <w:szCs w:val="21"/>
          <w:highlight w:val="none"/>
        </w:rPr>
        <w:t xml:space="preserve">税务等院外行政管理部门</w:t>
      </w:r>
      <w:r>
        <w:rPr>
          <w:rFonts w:hint="eastAsia" w:ascii="仿宋" w:hAnsi="仿宋" w:eastAsia="仿宋" w:cs="仿宋"/>
          <w:color w:val="000000"/>
          <w:sz w:val="21"/>
          <w:szCs w:val="21"/>
          <w:highlight w:val="none"/>
          <w:lang w:val="en-US" w:eastAsia="zh-CN"/>
        </w:rPr>
        <w:t xml:space="preserve">合规</w:t>
      </w:r>
      <w:r>
        <w:rPr>
          <w:rFonts w:hint="eastAsia" w:ascii="仿宋" w:hAnsi="仿宋" w:eastAsia="仿宋" w:cs="仿宋"/>
          <w:color w:val="000000"/>
          <w:sz w:val="21"/>
          <w:szCs w:val="21"/>
          <w:highlight w:val="none"/>
        </w:rPr>
        <w:t xml:space="preserve">要求产生的相关费用，由</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自行承担。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（5）油烟管道和净化器清洗费用由</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需与有资质的公司签订清洗合同，每季度清理油烟管道内外部一次，全年共四次，并留存清洗记录备查。</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需承担运营期间的部分环保责任，因运营等人为原因引起的环保责任和环保罚款，全部由</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需按市场监督管理局要求办理相关经营证照</w:t>
      </w:r>
      <w:r>
        <w:rPr>
          <w:rFonts w:hint="eastAsia" w:ascii="仿宋" w:hAnsi="仿宋" w:eastAsia="仿宋" w:cs="仿宋"/>
          <w:color w:val="000000"/>
          <w:sz w:val="21"/>
          <w:szCs w:val="21"/>
          <w:highlight w:val="none"/>
          <w:lang w:val="en-US" w:eastAsia="zh-CN"/>
        </w:rPr>
        <w:t xml:space="preserve">并承担</w:t>
      </w:r>
      <w:r>
        <w:rPr>
          <w:rFonts w:hint="eastAsia" w:ascii="仿宋" w:hAnsi="仿宋" w:eastAsia="仿宋" w:cs="仿宋"/>
          <w:color w:val="000000"/>
          <w:sz w:val="21"/>
          <w:szCs w:val="21"/>
          <w:highlight w:val="none"/>
        </w:rPr>
        <w:t xml:space="preserve">相关费用。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8）就餐环境文化宣传费用</w:t>
      </w:r>
      <w:r>
        <w:rPr>
          <w:rFonts w:hint="eastAsia" w:ascii="仿宋" w:hAnsi="仿宋" w:eastAsia="仿宋" w:cs="仿宋"/>
          <w:color w:val="000000"/>
          <w:sz w:val="21"/>
          <w:szCs w:val="21"/>
          <w:highlight w:val="none"/>
        </w:rPr>
        <w:t xml:space="preserve">由</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4.卫生要求：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厨房环境干净整洁，工作区无杂物，物品按规定归类定位放置；</w:t>
      </w:r>
      <w:r>
        <w:rPr>
          <w:rFonts w:hint="eastAsia" w:ascii="仿宋" w:hAnsi="仿宋" w:eastAsia="仿宋" w:cs="仿宋"/>
          <w:color w:val="000000"/>
          <w:sz w:val="21"/>
          <w:szCs w:val="21"/>
          <w:highlight w:val="none"/>
        </w:rPr>
        <w:t xml:space="preserve">餐后及时对厨具、餐具进行清洗、消毒，并分类放在固定位置；对厨房、餐厅进行全面打扫、冲洗；</w:t>
      </w:r>
      <w:r>
        <w:rPr>
          <w:rFonts w:hint="eastAsia" w:ascii="仿宋" w:hAnsi="仿宋" w:eastAsia="仿宋" w:cs="仿宋"/>
          <w:color w:val="000000"/>
          <w:sz w:val="21"/>
          <w:szCs w:val="21"/>
          <w:highlight w:val="none"/>
          <w:lang w:val="en-US" w:eastAsia="zh-CN"/>
        </w:rPr>
        <w:t xml:space="preserve">泔水、垃圾等废弃物应按规定存放；</w:t>
      </w:r>
      <w:r>
        <w:rPr>
          <w:rFonts w:hint="eastAsia" w:ascii="仿宋" w:hAnsi="仿宋" w:eastAsia="仿宋" w:cs="仿宋"/>
          <w:color w:val="000000"/>
          <w:sz w:val="21"/>
          <w:szCs w:val="21"/>
          <w:highlight w:val="none"/>
        </w:rPr>
        <w:t xml:space="preserve">对剩余饭菜按规定妥善处理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当餐及时清除，无明显异味。</w:t>
      </w:r>
      <w:r>
        <w:rPr>
          <w:rFonts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（2）每日对厨具、餐具进行清洗、消毒，对厨房、餐厅及周边环境进行保洁；每周开展一次大扫除。</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（3）每日进行下水道清理，因</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操作原因引起的管道堵塞，由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负责疏通并承担相关费用。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4）食堂环境卫生干净明亮、整洁有序，大厅天花板、装饰物、墙壁及门窗无污迹，桌椅无污迹油迹，服务台面、垃圾桶表面、服务台玻璃表面无污迹油迹；食堂内无蚊蝇、蟑螂、老鼠等。</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5.设施设备管理：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需对</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提供的设施设备进行日常维护、维修，费用由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自行承担；如涉及人为损坏，需照价赔偿；如因正常损耗或确需添置餐具、厨房设备设施等，需报</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确认同意后，由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自费添置。</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（2）食堂如需新增炉灶自动熄火保护装置，相关费用由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（3）按照医院评审规范和要求，接受涉及食堂方面的相关条例考核和检查，根据</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要求规范台账记录；增加电子化宣传内容，根据</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要求及食堂实际经营需要，添置现代化、时尚、便捷的设施设备。</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（五）采购与加工流程要求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乙方应</w:t>
      </w:r>
      <w:r>
        <w:rPr>
          <w:rFonts w:hint="eastAsia" w:ascii="仿宋" w:hAnsi="仿宋" w:eastAsia="仿宋" w:cs="仿宋"/>
          <w:color w:val="000000"/>
          <w:sz w:val="21"/>
          <w:szCs w:val="21"/>
          <w:highlight w:val="none"/>
        </w:rPr>
        <w:t xml:space="preserve">严格把控食材质量</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强化原材料质量控制；加强食品保存管理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1.菜单制订：</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管理人员需结合市场、季节、营养及</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要求等因素，制定每周食谱及菜单，并报送</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相关部门备案，严格按照备案食谱供应菜品。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2.食材采购：</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（1）食材采购管理：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① </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自主采购食材，</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有权对采购渠道、食材质量进行监督、检查、抽查；</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需在合同签订后10个工作日内，提交主要食材</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名单（含</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名称、资质证明、联系方式、合作协议等），</w:t>
      </w:r>
      <w:r>
        <w:rPr>
          <w:rFonts w:hint="eastAsia" w:ascii="仿宋" w:hAnsi="仿宋" w:eastAsia="仿宋" w:cs="仿宋"/>
          <w:color w:val="000000"/>
          <w:sz w:val="21"/>
          <w:szCs w:val="21"/>
          <w:highlight w:val="none"/>
          <w:lang w:val="en-US" w:eastAsia="zh-CN"/>
        </w:rPr>
        <w:t xml:space="preserve">向</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lang w:val="en-US" w:eastAsia="zh-CN"/>
        </w:rPr>
        <w:t xml:space="preserve">报备</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② 食材采购需具有可追溯性，渠道合法、安全，必须从持有食品经营许可证的经营单位、大型连锁超市、正规食蔬基地、原厂家或授权经销商等正规渠道采购，严禁从无资质、无保障的渠道采购食材。</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③ 采购时需按国家规定索取食材检验合格证明、进货凭证（发票、收据等），建立完整的食材采购台账，详细记录食材名称、采购日期、采购数量、</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名称、联系方式、检验合格证明编号等信息，台账需留存不少于2年，供</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及相关监管部门检查。</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（2）食材质量要求：蔬菜新鲜、色泽鲜亮、形状完好；肉类有光泽、色红均匀、肉质紧实、不黏手、无异味；鱼虾类色泽正常、无红变，甲壳光泽新鲜；尽量少用半成品。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禁止采购以下食品：①地沟油、工业盐、腐败变质、油脂酸败、霉变、生虫、污秽不洁、混有异物或者其他感官性状异常，含有毒有害物质或者被有毒、有害物质污染，可能对人体健康有害的食品；②未经兽医卫生检验或者检验不合格的肉类及其制品；③超过保质期限或不符合食品标签规定的定型包装食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3.库房管理：严格执行库房管理制度和索证索票制度，做好台账登记，</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有权对台账进行随机检查；库房物品需按相关要求分类存放，做到隔墙离地、保持清洁。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4.菜品加工：严格按照食品安全操作规范进行菜品加工，加工后的饭菜需做好保热、保洁工作，确保菜品温度和质量。</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精心组织厨房生产，严控菜品质量，菜品主辅料配比、调味品配比科学合理，菜品成品色、香、味、型俱佳，荤素品种搭配合理；保证饭菜供应，每天制作包子、水饺和馄饨等点心数量不得低于规定标准，点心成品造型美观、馅心口味合适，服务时间内保证饭菜供应充足，不得出现断供现象。</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（2）严格控制菜品单次烹饪数量，蔬菜类菜品一次烹饪完成，衔接时间控制合理，不得出现菜品出锅时间过长、菜品不新鲜或明显浪费现象；注重现场菜品保温管理，及时按规定加热，不得出现冷饭冷菜现象。</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（六）资产管理要求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提供的资产，经</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现场验收确认后，双方办理合同期间资产使用移交手续并签字确认，各持一份；严格按照国有资产管理制度进行监管。</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2.合同履行期间，</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需正常合理使用</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提供的资产，不得转让、转卖、出借、改拆，保证承包经营结束时资产移交验收完好、合格，并留存定期维修保养记录；对非正常损坏的资产，</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需予以修复或按建造安装价、采购价赔偿。</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需在规定区域内作业，不得随意改变各功能区用途，不得扩大经营场所，不得随意搭盖；未经</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同意，不得对食堂供水、供电线路进行改造，不得改变房屋结构及装饰。</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4.合同履行期内，</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自行投资购置的辅助设备，在退出承包经营时，由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自行搬走，不结算残余值，现场需恢复原样。</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（七）监督与配合要求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提供</w:t>
      </w:r>
      <w:r>
        <w:rPr>
          <w:rFonts w:hint="eastAsia" w:ascii="仿宋" w:hAnsi="仿宋" w:eastAsia="仿宋" w:cs="仿宋"/>
          <w:color w:val="000000"/>
          <w:sz w:val="21"/>
          <w:szCs w:val="21"/>
          <w:highlight w:val="none"/>
          <w:lang w:eastAsia="zh-CN"/>
        </w:rPr>
        <w:t xml:space="preserve">餐饮</w:t>
      </w:r>
      <w:r>
        <w:rPr>
          <w:rFonts w:hint="eastAsia" w:ascii="仿宋" w:hAnsi="仿宋" w:eastAsia="仿宋" w:cs="仿宋"/>
          <w:color w:val="000000"/>
          <w:sz w:val="21"/>
          <w:szCs w:val="21"/>
          <w:highlight w:val="none"/>
        </w:rPr>
        <w:t xml:space="preserve">服务，</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提供经营场地，</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按本合同约定自行组织经营。委派专业厨房工作人员及管理人员到</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进行专业餐饮管理、经营，为</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提供膳食服务，规范经营。</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相关部门负责监督和指导餐厅经营管理工作。</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需配合</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的管理，合法经营，严格遵守</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的各项规章制度、考核细则，遵纪守法，遵守职业道德，服从</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的监督管理。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乙方的</w:t>
      </w:r>
      <w:r>
        <w:rPr>
          <w:rFonts w:hint="eastAsia" w:ascii="仿宋" w:hAnsi="仿宋" w:eastAsia="仿宋" w:cs="仿宋"/>
          <w:color w:val="000000"/>
          <w:sz w:val="21"/>
          <w:szCs w:val="21"/>
          <w:highlight w:val="none"/>
        </w:rPr>
        <w:t xml:space="preserve">所有员工必须经过</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及相关管理部门的入职审核（包括但不限于无犯罪证明、健康体检证明等），未通过审核的员工，</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有权要求予以更换或辞退。</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接受</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财务监督，</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有权查阅食堂账册、营业额等台账，</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需积极配合，如实提供相关资料。</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有权建立监管小组（或膳食管理委员会）并制定监管细则，对</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的原材料采购、菜品品种、价格、成本、饮食产品质量、</w:t>
      </w:r>
      <w:r>
        <w:rPr>
          <w:rFonts w:hint="eastAsia" w:ascii="仿宋" w:hAnsi="仿宋" w:eastAsia="仿宋" w:cs="仿宋"/>
          <w:color w:val="000000"/>
          <w:sz w:val="21"/>
          <w:szCs w:val="21"/>
          <w:highlight w:val="none"/>
          <w:lang w:val="en-US" w:eastAsia="zh-CN"/>
        </w:rPr>
        <w:t xml:space="preserve">安全、</w:t>
      </w:r>
      <w:r>
        <w:rPr>
          <w:rFonts w:hint="eastAsia" w:ascii="仿宋" w:hAnsi="仿宋" w:eastAsia="仿宋" w:cs="仿宋"/>
          <w:color w:val="000000"/>
          <w:sz w:val="21"/>
          <w:szCs w:val="21"/>
          <w:highlight w:val="none"/>
        </w:rPr>
        <w:t xml:space="preserve">卫生要求等进行全过程检查、监督和管理指导</w:t>
      </w:r>
      <w:r>
        <w:rPr>
          <w:rFonts w:hint="eastAsia" w:ascii="仿宋" w:hAnsi="仿宋" w:eastAsia="仿宋" w:cs="仿宋"/>
          <w:color w:val="000000"/>
          <w:sz w:val="21"/>
          <w:szCs w:val="21"/>
          <w:highlight w:val="none"/>
          <w:lang w:eastAsia="zh-CN"/>
        </w:rPr>
        <w:t xml:space="preserve">，对违规行为予以处罚</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5.承包范围内所有设备及水电如发生损坏由乙方负责维修确保设备正常,甲方不定期安全生产检查。</w:t>
      </w:r>
      <w:r>
        <w:rPr>
          <w:rFonts w:hint="eastAsia" w:ascii="仿宋" w:hAnsi="仿宋" w:eastAsia="仿宋" w:cs="仿宋"/>
          <w:color w:val="000000"/>
          <w:sz w:val="21"/>
          <w:szCs w:val="21"/>
          <w:highlight w:val="none"/>
          <w:lang w:val="en-US" w:eastAsia="zh-CN"/>
        </w:rPr>
      </w:r>
      <w:r/>
    </w:p>
    <w:p>
      <w:pPr>
        <w:pStyle w:val="1032"/>
        <w:ind w:left="0" w:firstLine="48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0"/>
      </w:pPr>
      <w:r/>
      <w:bookmarkStart w:id="825" w:name="_Toc17045"/>
      <w:r>
        <w:rPr>
          <w:rFonts w:hint="eastAsia" w:ascii="仿宋" w:hAnsi="仿宋" w:eastAsia="仿宋" w:cs="仿宋"/>
          <w:b/>
          <w:bCs/>
          <w:color w:val="000000"/>
          <w:sz w:val="24"/>
          <w:szCs w:val="24"/>
          <w:highlight w:val="none"/>
          <w:lang w:val="en-US" w:eastAsia="zh-CN"/>
        </w:rPr>
        <w:t xml:space="preserve">第七条 </w:t>
      </w:r>
      <w:r>
        <w:rPr>
          <w:rFonts w:hint="eastAsia" w:ascii="仿宋" w:hAnsi="仿宋" w:eastAsia="仿宋" w:cs="仿宋"/>
          <w:b/>
          <w:color w:val="000000"/>
          <w:sz w:val="21"/>
          <w:szCs w:val="21"/>
          <w:highlight w:val="none"/>
        </w:rPr>
        <w:t xml:space="preserve">考核要求</w:t>
      </w:r>
      <w:bookmarkEnd w:id="825"/>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每季度开展食堂服务满意度调查，发放职工测评问卷</w:t>
      </w:r>
      <w:r>
        <w:rPr>
          <w:rFonts w:hint="eastAsia" w:ascii="仿宋" w:hAnsi="仿宋" w:eastAsia="仿宋" w:cs="仿宋"/>
          <w:color w:val="000000"/>
          <w:sz w:val="21"/>
          <w:szCs w:val="21"/>
          <w:highlight w:val="none"/>
          <w:lang w:val="en-US" w:eastAsia="zh-CN"/>
        </w:rPr>
        <w:t xml:space="preserve">不少于</w:t>
      </w:r>
      <w:r>
        <w:rPr>
          <w:rFonts w:hint="eastAsia" w:ascii="仿宋" w:hAnsi="仿宋" w:eastAsia="仿宋" w:cs="仿宋"/>
          <w:color w:val="000000"/>
          <w:sz w:val="21"/>
          <w:szCs w:val="21"/>
          <w:highlight w:val="none"/>
        </w:rPr>
        <w:t xml:space="preserve">30份，服务满意度≥85%为合格。</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2.服务满意度在合格标准基础上，每低1%，罚款1000元。</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3.当服务满意度＜75%时，</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有权要求</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限期整改，并对其处以5000至10000元的罚金；连续2次满意度低于75%时，</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有权单方面解除本合同，并不承担由此带来的</w:t>
      </w:r>
      <w:r>
        <w:rPr>
          <w:rFonts w:hint="eastAsia" w:ascii="仿宋" w:hAnsi="仿宋" w:eastAsia="仿宋" w:cs="仿宋"/>
          <w:color w:val="000000"/>
          <w:sz w:val="21"/>
          <w:szCs w:val="21"/>
          <w:highlight w:val="none"/>
          <w:lang w:val="en-US" w:eastAsia="zh-CN"/>
        </w:rPr>
        <w:t xml:space="preserve">任何</w:t>
      </w:r>
      <w:r>
        <w:rPr>
          <w:rFonts w:hint="eastAsia" w:ascii="仿宋" w:hAnsi="仿宋" w:eastAsia="仿宋" w:cs="仿宋"/>
          <w:color w:val="000000"/>
          <w:sz w:val="21"/>
          <w:szCs w:val="21"/>
          <w:highlight w:val="none"/>
        </w:rPr>
        <w:t xml:space="preserve">责任。</w:t>
      </w:r>
      <w:r>
        <w:rPr>
          <w:rFonts w:hint="eastAsia" w:ascii="仿宋" w:hAnsi="仿宋" w:eastAsia="仿宋" w:cs="仿宋"/>
          <w:color w:val="000000"/>
          <w:sz w:val="21"/>
          <w:szCs w:val="21"/>
          <w:highlight w:val="none"/>
        </w:rPr>
      </w:r>
      <w:r/>
    </w:p>
    <w:p>
      <w:pPr>
        <w:pStyle w:val="1032"/>
        <w:numPr>
          <w:ilvl w:val="0"/>
          <w:numId w:val="0"/>
        </w:numPr>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第八条 履约验收</w:t>
      </w:r>
      <w:r>
        <w:rPr>
          <w:rFonts w:hint="eastAsia" w:ascii="仿宋" w:hAnsi="仿宋" w:eastAsia="仿宋" w:cs="仿宋"/>
          <w:b/>
          <w:bCs/>
          <w:color w:val="000000"/>
          <w:sz w:val="24"/>
          <w:szCs w:val="24"/>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1.甲方成立验收小组，按照采购合同的约定对乙方的履约情况进行验收。乙方配合并提供相关资料。</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2.甲方可根据项目特点对服务期内的服务实施情况进行分期考核，综合考核情况和服务效果进行验收。</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3.验收依据：本合同、采购文件、相关法律法规及甲方相关考核要求、资产移交清单。</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4.验收范围：包括乙方供餐服务质量、甲方提供资产的使用维护情况、乙方合规经营情况及合同约定的其他履约内容。</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5.验收结果的处理</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（1）验收合格：双方签署验收文件，作为结算、续签依据。</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（2）验收不合格：甲方出具整改通知，乙方逾期未改、整改不到位的，视为违约，甲方有权处罚或解除合同。</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（3）验收争议：双方协商解决，协商不成按合同争议解决方式处理。</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验收结果与采购合同约定的资金支付及履约保证金返还条件挂钩。履约验收的各项资料存档备查。</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6.采购合同的履行、违约责任和解决争议的方式等适用《民法典》。乙方在履约过程中有政府采购法律法规规定的违法违规情形的,甲方将及时报告本级财政部门。</w:t>
      </w:r>
      <w:r>
        <w:rPr>
          <w:rFonts w:hint="eastAsia" w:ascii="仿宋" w:hAnsi="仿宋" w:eastAsia="仿宋" w:cs="仿宋"/>
          <w:color w:val="000000"/>
          <w:sz w:val="21"/>
          <w:szCs w:val="21"/>
          <w:highlight w:val="none"/>
          <w:lang w:val="en-US" w:eastAsia="zh-CN"/>
        </w:rPr>
      </w:r>
      <w:r/>
    </w:p>
    <w:p>
      <w:pPr>
        <w:pStyle w:val="1032"/>
        <w:numPr>
          <w:ilvl w:val="0"/>
          <w:numId w:val="0"/>
        </w:numPr>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第九条 违约责任</w:t>
      </w:r>
      <w:r>
        <w:rPr>
          <w:rFonts w:hint="eastAsia" w:ascii="仿宋" w:hAnsi="仿宋" w:eastAsia="仿宋" w:cs="仿宋"/>
          <w:b/>
          <w:bCs/>
          <w:color w:val="000000"/>
          <w:sz w:val="24"/>
          <w:szCs w:val="24"/>
          <w:highlight w:val="none"/>
          <w:lang w:val="en-US" w:eastAsia="zh-CN"/>
        </w:rPr>
      </w:r>
      <w:r/>
    </w:p>
    <w:p>
      <w:pPr>
        <w:pStyle w:val="1032"/>
        <w:ind w:left="0"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（一）甲方违约</w:t>
      </w:r>
      <w:r>
        <w:rPr>
          <w:rFonts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1.甲方未按时支付结算费用，经催告15日内仍未支付的，每逾期一日按欠付金额0.5‰支付违约金（累计不超过5%）。</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2.甲方未按约定提供场地、设备致乙方无法经营的，赔偿实际损失。</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3.甲方无故干涉乙方合法经营或自身原因引发安全事故的，承担全部责任及损失。</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（二）乙方违约责任</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1.食品安全违约：食材采购不合规、未按规定留样等，每次罚款2000-5000元；情节严重或整改不合格的，甲方有权解除合同并索赔；引发食品安全事故的，乙方承担全部损失，甲方有权解除合同、没收</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lang w:val="en-US" w:eastAsia="zh-CN"/>
        </w:rPr>
        <w:t xml:space="preserve">并将其列入黑名单。</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服务质量违约：未按约定供餐，每次罚款1000-2000元，月累计3次及以上加罚5000元并扣当月10%结算费用，连续2个月违规甲方有权解除合同；季度满意度不达标按约定扣费，连续2次或年累计3次＜75%，甲方有权解除合同、没收</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lang w:val="en-US" w:eastAsia="zh-CN"/>
        </w:rPr>
        <w:t xml:space="preserve">并索赔；服务人员被有效投诉，每次罚款500元，累计5次及以上未按要求更换人员加罚2000元。</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3.合规经营违约：未给员工购买社保及相关保险、员工无有效健康证上岗、违规排放或处置餐厨垃圾、擅自转包分包或扩大经营范围的，按约定罚款；逾期未整改或累计违规达3次及以上，甲方有权解除合同、没收</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lang w:val="en-US" w:eastAsia="zh-CN"/>
        </w:rPr>
        <w:t xml:space="preserve">并索赔。</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（三）违约责任补充约定</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1.违约金不足以弥补实际损失的，违约方另行补足差额。</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2.乙方罚款可从结算费用或履约保证金中扣除，不足部分3日内补足，逾期按每日0.5‰支付滞纳金。</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3.一方违约未整改的，另一方有权进一步处罚直至解除合同。</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4.不可抗力导致无法履约的，互不担责，双方协商后续事宜。</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第十条 不可抗力</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1.不可抗力，是指不能预见、不能避免并不能克服的客观情况，如战争、动乱、瘟疫、严重火灾、洪水、地震、风暴或其他自然灾害等。</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3.发生不可抗力事件，任何一方均不对因不可抗力无法履行或迟延履行本合同义务而使另一方蒙受的任何损失承担责任，法律另有规定的除外。</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4.合同各方应根据不可抗力对本合同履行的影响程度，协商确定是否终止本合同或是继续履行本合同。</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第十一条 争议的解决</w:t>
      </w:r>
      <w:r>
        <w:rPr>
          <w:rFonts w:hint="eastAsia" w:ascii="仿宋" w:hAnsi="仿宋" w:eastAsia="仿宋" w:cs="仿宋"/>
          <w:b/>
          <w:bCs/>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1.因履行本合同引起的或与本合同有关的争议，甲、乙双方应首先通过友好协商解决，如果协商不能解决争议，则向甲方所在地有管辖权的人民法院提起诉讼。</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2.在争议处理期间，除争议部分外本合同应继续履行。</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第十二条 合同转包或分包</w:t>
      </w:r>
      <w:r>
        <w:rPr>
          <w:rFonts w:hint="eastAsia" w:ascii="仿宋" w:hAnsi="仿宋" w:eastAsia="仿宋" w:cs="仿宋"/>
          <w:b/>
          <w:bCs/>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1.乙方不得将合同标的转包给他人履行。</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2.乙方不得将合同标的分包给他人履行。</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3.乙方如有转包或未经甲方同意的分包行为，甲方有权解除合同。</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第十三条 合同生效及其他</w:t>
      </w:r>
      <w:r>
        <w:rPr>
          <w:rFonts w:hint="eastAsia" w:ascii="仿宋" w:hAnsi="仿宋" w:eastAsia="仿宋" w:cs="仿宋"/>
          <w:b/>
          <w:bCs/>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1.本合同由甲乙双方签字、盖章后生效。</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2.本合同一式伍份，甲乙双方各执贰份，见证方执壹份。</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3.本合同应按照中华人民共和国的现行法律进行解释，条款中如与国家规定、条例有抵触的，则该条款无效并按国家规定和条例执行，合同的其它条款继续有效。</w:t>
      </w:r>
      <w:r>
        <w:rPr>
          <w:rFonts w:hint="eastAsia" w:ascii="仿宋" w:hAnsi="仿宋" w:eastAsia="仿宋" w:cs="仿宋"/>
          <w:color w:val="000000"/>
          <w:sz w:val="21"/>
          <w:szCs w:val="21"/>
          <w:highlight w:val="none"/>
          <w:lang w:val="en-US" w:eastAsia="zh-CN"/>
        </w:rPr>
      </w:r>
      <w:r/>
    </w:p>
    <w:p>
      <w:pPr>
        <w:pStyle w:val="1058"/>
        <w:ind w:left="420" w:firstLine="0"/>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甲方：                       乙方： </w:t>
      </w:r>
      <w:r>
        <w:rPr>
          <w:rFonts w:hint="eastAsia" w:ascii="仿宋" w:hAnsi="仿宋" w:eastAsia="仿宋" w:cs="仿宋"/>
          <w:color w:val="000000"/>
          <w:sz w:val="21"/>
          <w:szCs w:val="21"/>
          <w:highlight w:val="none"/>
        </w:rPr>
      </w:r>
      <w:r/>
    </w:p>
    <w:p>
      <w:pPr>
        <w:pStyle w:val="1058"/>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地址：                        地址： </w:t>
      </w:r>
      <w:r>
        <w:rPr>
          <w:rFonts w:hint="eastAsia" w:ascii="仿宋" w:hAnsi="仿宋" w:eastAsia="仿宋" w:cs="仿宋"/>
          <w:color w:val="000000"/>
          <w:sz w:val="21"/>
          <w:szCs w:val="21"/>
          <w:highlight w:val="none"/>
        </w:rPr>
      </w:r>
      <w:r/>
    </w:p>
    <w:p>
      <w:pPr>
        <w:pStyle w:val="1058"/>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法定代表人或授权代表：        法定代表人或授权代表：</w:t>
      </w:r>
      <w:r>
        <w:rPr>
          <w:rFonts w:hint="eastAsia" w:ascii="仿宋" w:hAnsi="仿宋" w:eastAsia="仿宋" w:cs="仿宋"/>
          <w:color w:val="000000"/>
          <w:sz w:val="21"/>
          <w:szCs w:val="21"/>
          <w:highlight w:val="none"/>
        </w:rPr>
      </w:r>
      <w:r/>
    </w:p>
    <w:p>
      <w:pPr>
        <w:pStyle w:val="1058"/>
        <w:ind w:firstLine="420"/>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联系电话：                   联系电话：          </w:t>
      </w:r>
      <w:r>
        <w:rPr>
          <w:rFonts w:hint="eastAsia" w:ascii="仿宋" w:hAnsi="仿宋" w:eastAsia="仿宋" w:cs="仿宋"/>
          <w:color w:val="000000"/>
          <w:sz w:val="21"/>
          <w:szCs w:val="21"/>
          <w:highlight w:val="none"/>
        </w:rPr>
      </w:r>
      <w:r/>
    </w:p>
    <w:p>
      <w:pPr>
        <w:pStyle w:val="1058"/>
        <w:jc w:val="center"/>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签订日期：      年    月   日</w:t>
      </w:r>
      <w:bookmarkStart w:id="826" w:name="_Hlt16619350"/>
      <w:r/>
      <w:bookmarkStart w:id="827" w:name="_Toc20823346"/>
      <w:r/>
      <w:bookmarkStart w:id="828" w:name="_Toc120614244"/>
      <w:r/>
      <w:bookmarkStart w:id="829" w:name="_Toc16938590"/>
      <w:r/>
      <w:bookmarkStart w:id="830" w:name="_Hlt16619369"/>
      <w:r/>
      <w:bookmarkEnd w:id="830"/>
      <w:r>
        <w:rPr>
          <w:rFonts w:hint="eastAsia" w:ascii="仿宋" w:hAnsi="仿宋" w:eastAsia="仿宋" w:cs="仿宋"/>
          <w:color w:val="000000"/>
          <w:sz w:val="21"/>
          <w:szCs w:val="21"/>
          <w:highlight w:val="none"/>
        </w:rPr>
      </w:r>
      <w:r/>
    </w:p>
    <w:p>
      <w:pPr>
        <w:pStyle w:val="1032"/>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br w:type="page" w:clear="all"/>
      </w:r>
      <w:r>
        <w:rPr>
          <w:rFonts w:hint="eastAsia" w:ascii="仿宋" w:hAnsi="仿宋" w:eastAsia="仿宋" w:cs="仿宋"/>
          <w:color w:val="000000"/>
          <w:sz w:val="21"/>
          <w:szCs w:val="21"/>
          <w:highlight w:val="none"/>
        </w:rPr>
      </w:r>
      <w:r/>
    </w:p>
    <w:p>
      <w:pPr>
        <w:pStyle w:val="1034"/>
        <w:jc w:val="center"/>
        <w:spacing w:line="48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lang w:eastAsia="zh-CN"/>
        </w:rPr>
        <w:t xml:space="preserve">食堂</w:t>
      </w:r>
      <w:r>
        <w:rPr>
          <w:rFonts w:hint="eastAsia" w:ascii="仿宋" w:hAnsi="仿宋" w:eastAsia="仿宋" w:cs="仿宋"/>
          <w:color w:val="000000"/>
          <w:sz w:val="32"/>
          <w:szCs w:val="32"/>
          <w:highlight w:val="none"/>
        </w:rPr>
        <w:t xml:space="preserve">满意度测评制度及测评表</w:t>
      </w:r>
      <w:r>
        <w:rPr>
          <w:rFonts w:hint="eastAsia" w:ascii="仿宋" w:hAnsi="仿宋" w:eastAsia="仿宋" w:cs="仿宋"/>
          <w:color w:val="000000"/>
          <w:sz w:val="32"/>
          <w:szCs w:val="32"/>
          <w:highlight w:val="none"/>
        </w:rPr>
      </w:r>
      <w:r/>
    </w:p>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医院</w:t>
      </w:r>
      <w:r>
        <w:rPr>
          <w:rFonts w:hint="eastAsia" w:ascii="仿宋" w:hAnsi="仿宋" w:eastAsia="仿宋" w:cs="仿宋"/>
          <w:color w:val="000000"/>
          <w:sz w:val="24"/>
          <w:highlight w:val="none"/>
        </w:rPr>
        <w:t xml:space="preserve">会餐总人数：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人         参加测评人数：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人</w:t>
      </w:r>
      <w:r>
        <w:rPr>
          <w:rFonts w:hint="eastAsia" w:ascii="仿宋" w:hAnsi="仿宋" w:eastAsia="仿宋" w:cs="仿宋"/>
          <w:color w:val="000000"/>
          <w:sz w:val="24"/>
          <w:highlight w:val="none"/>
        </w:rPr>
      </w:r>
      <w:r/>
    </w:p>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汇总日期：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rPr>
      </w:r>
      <w:r/>
    </w:p>
    <w:tbl>
      <w:tblPr>
        <w:tblStyle w:val="1078"/>
        <w:tblW w:w="94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763"/>
        <w:gridCol w:w="717"/>
        <w:gridCol w:w="1467"/>
        <w:gridCol w:w="1298"/>
        <w:gridCol w:w="3368"/>
      </w:tblGrid>
      <w:tr>
        <w:trPr>
          <w:trHeight w:val="871"/>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测评内容</w:t>
            </w:r>
            <w:r>
              <w:rPr>
                <w:rFonts w:hint="eastAsia" w:ascii="仿宋" w:hAnsi="仿宋" w:eastAsia="仿宋" w:cs="仿宋"/>
                <w:color w:val="000000"/>
                <w:sz w:val="24"/>
                <w:highlight w:val="none"/>
              </w:rPr>
            </w:r>
            <w:r/>
          </w:p>
        </w:tc>
        <w:tc>
          <w:tcPr>
            <w:tcW w:w="717"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满意</w:t>
            </w:r>
            <w:r>
              <w:rPr>
                <w:rFonts w:hint="eastAsia" w:ascii="仿宋" w:hAnsi="仿宋" w:eastAsia="仿宋" w:cs="仿宋"/>
                <w:color w:val="000000"/>
                <w:sz w:val="24"/>
                <w:highlight w:val="none"/>
              </w:rPr>
            </w:r>
            <w:r/>
          </w:p>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基本满意</w:t>
            </w:r>
            <w:r>
              <w:rPr>
                <w:rFonts w:hint="eastAsia" w:ascii="仿宋" w:hAnsi="仿宋" w:eastAsia="仿宋" w:cs="仿宋"/>
                <w:color w:val="000000"/>
                <w:sz w:val="24"/>
                <w:highlight w:val="none"/>
              </w:rPr>
            </w:r>
            <w:r/>
          </w:p>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不满意</w:t>
            </w:r>
            <w:r>
              <w:rPr>
                <w:rFonts w:hint="eastAsia" w:ascii="仿宋" w:hAnsi="仿宋" w:eastAsia="仿宋" w:cs="仿宋"/>
                <w:color w:val="000000"/>
                <w:sz w:val="24"/>
                <w:highlight w:val="none"/>
              </w:rPr>
            </w:r>
            <w:r/>
          </w:p>
        </w:tc>
        <w:tc>
          <w:tcPr>
            <w:tcW w:w="3368"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满意率=（满意票数+基本满意票数）÷测评总票数</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饭菜卫生状况</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环境卫生</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饭菜分量</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饭菜价格</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饭菜口味</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菜式品种</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饭菜保温</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服务态度</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gridSpan w:val="6"/>
            <w:tcW w:w="9424"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人员</w:t>
            </w:r>
            <w:r>
              <w:rPr>
                <w:rFonts w:hint="eastAsia" w:ascii="仿宋" w:hAnsi="仿宋" w:eastAsia="仿宋" w:cs="仿宋"/>
                <w:color w:val="000000"/>
                <w:sz w:val="24"/>
                <w:highlight w:val="none"/>
              </w:rPr>
              <w:t xml:space="preserve">满意度：</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zh-CN"/>
              </w:rPr>
              <w:t xml:space="preserve">人员</w:t>
            </w:r>
            <w:r>
              <w:rPr>
                <w:rFonts w:hint="eastAsia" w:ascii="仿宋" w:hAnsi="仿宋" w:eastAsia="仿宋" w:cs="仿宋"/>
                <w:color w:val="000000"/>
                <w:sz w:val="24"/>
                <w:highlight w:val="none"/>
              </w:rPr>
              <w:t xml:space="preserve">满意度=八项测评内容满意率之和÷8）</w:t>
            </w:r>
            <w:r>
              <w:rPr>
                <w:rFonts w:hint="eastAsia" w:ascii="仿宋" w:hAnsi="仿宋" w:eastAsia="仿宋" w:cs="仿宋"/>
                <w:color w:val="000000"/>
                <w:sz w:val="24"/>
                <w:highlight w:val="none"/>
              </w:rPr>
            </w:r>
            <w:r/>
          </w:p>
        </w:tc>
      </w:tr>
    </w:tbl>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医院</w:t>
      </w:r>
      <w:r>
        <w:rPr>
          <w:rFonts w:hint="eastAsia" w:ascii="仿宋" w:hAnsi="仿宋" w:eastAsia="仿宋" w:cs="仿宋"/>
          <w:color w:val="000000"/>
          <w:sz w:val="24"/>
          <w:highlight w:val="none"/>
        </w:rPr>
        <w:t xml:space="preserve">测评汇总人签字：</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医院</w:t>
      </w:r>
      <w:r>
        <w:rPr>
          <w:rFonts w:hint="eastAsia" w:ascii="仿宋" w:hAnsi="仿宋" w:eastAsia="仿宋" w:cs="仿宋"/>
          <w:color w:val="000000"/>
          <w:sz w:val="24"/>
          <w:highlight w:val="none"/>
        </w:rPr>
        <w:t xml:space="preserve">测评小组人员签字：</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食堂负责人签字：</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注：1、计算百分率时，百分号前保留两位小数；计算满意度时，百分号前保留整数。</w:t>
      </w:r>
      <w:r>
        <w:rPr>
          <w:rFonts w:hint="eastAsia" w:ascii="仿宋" w:hAnsi="仿宋" w:eastAsia="仿宋" w:cs="仿宋"/>
          <w:color w:val="000000"/>
          <w:sz w:val="24"/>
          <w:highlight w:val="none"/>
        </w:rPr>
      </w:r>
      <w:r/>
    </w:p>
    <w:p>
      <w:pPr>
        <w:pStyle w:val="1032"/>
        <w:ind w:firstLine="480"/>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2、本表一式两份，一份</w:t>
      </w:r>
      <w:r>
        <w:rPr>
          <w:rFonts w:hint="eastAsia" w:ascii="仿宋" w:hAnsi="仿宋" w:eastAsia="仿宋" w:cs="仿宋"/>
          <w:color w:val="000000"/>
          <w:sz w:val="24"/>
          <w:highlight w:val="none"/>
          <w:lang w:eastAsia="zh-CN"/>
        </w:rPr>
        <w:t xml:space="preserve">医院</w:t>
      </w:r>
      <w:r>
        <w:rPr>
          <w:rFonts w:hint="eastAsia" w:ascii="仿宋" w:hAnsi="仿宋" w:eastAsia="仿宋" w:cs="仿宋"/>
          <w:color w:val="000000"/>
          <w:sz w:val="24"/>
          <w:highlight w:val="none"/>
        </w:rPr>
        <w:t xml:space="preserve">保留，一份送食堂负责人。</w:t>
      </w:r>
      <w:r>
        <w:rPr>
          <w:rFonts w:hint="eastAsia" w:ascii="仿宋" w:hAnsi="仿宋" w:eastAsia="仿宋" w:cs="仿宋"/>
          <w:color w:val="000000"/>
          <w:sz w:val="24"/>
          <w:highlight w:val="none"/>
        </w:rPr>
      </w:r>
      <w:r/>
    </w:p>
    <w:p>
      <w:pPr>
        <w:pStyle w:val="1032"/>
        <w:jc w:val="left"/>
        <w:spacing w:line="480" w:lineRule="auto"/>
        <w:rPr>
          <w:rFonts w:hint="eastAsia" w:ascii="仿宋" w:hAnsi="仿宋" w:eastAsia="仿宋" w:cs="仿宋"/>
          <w:color w:val="000000"/>
          <w:sz w:val="21"/>
          <w:szCs w:val="21"/>
          <w:highlight w:val="none"/>
        </w:rPr>
        <w:outlineLvl w:val="9"/>
      </w:pPr>
      <w:r>
        <w:rPr>
          <w:rFonts w:hint="eastAsia" w:ascii="仿宋" w:hAnsi="仿宋" w:eastAsia="仿宋" w:cs="仿宋"/>
          <w:b/>
          <w:bCs/>
          <w:color w:val="000000"/>
          <w:sz w:val="24"/>
          <w:highlight w:val="none"/>
        </w:rPr>
        <w:t xml:space="preserve">注：上述格式及内容仅供参考，具体以甲乙双方签订合同时内容为准。</w:t>
      </w:r>
      <w:r>
        <w:rPr>
          <w:rFonts w:hint="eastAsia" w:ascii="仿宋" w:hAnsi="仿宋" w:eastAsia="仿宋" w:cs="仿宋"/>
          <w:color w:val="000000"/>
          <w:sz w:val="21"/>
          <w:szCs w:val="21"/>
          <w:highlight w:val="none"/>
        </w:rPr>
      </w:r>
      <w:r/>
    </w:p>
    <w:p>
      <w:pPr>
        <w:pStyle w:val="1276"/>
        <w:contextualSpacing/>
        <w:jc w:val="center"/>
        <w:spacing w:before="0" w:beforeAutospacing="0" w:after="0" w:afterAutospacing="0" w:line="480" w:lineRule="auto"/>
        <w:rPr>
          <w:rStyle w:val="1217"/>
          <w:rFonts w:hint="eastAsia" w:ascii="仿宋" w:hAnsi="仿宋" w:eastAsia="仿宋" w:cs="仿宋"/>
          <w:color w:val="000000"/>
          <w:highlight w:val="none"/>
        </w:rPr>
      </w:pPr>
      <w:r/>
      <w:bookmarkEnd w:id="826"/>
      <w:r/>
      <w:bookmarkEnd w:id="827"/>
      <w:r/>
      <w:bookmarkEnd w:id="828"/>
      <w:r/>
      <w:bookmarkEnd w:id="829"/>
      <w:r>
        <w:rPr>
          <w:rStyle w:val="1217"/>
          <w:rFonts w:hint="eastAsia" w:ascii="仿宋" w:hAnsi="仿宋" w:eastAsia="仿宋" w:cs="仿宋"/>
          <w:color w:val="000000"/>
          <w:sz w:val="36"/>
          <w:szCs w:val="36"/>
          <w:highlight w:val="none"/>
        </w:rPr>
        <w:br w:type="page" w:clear="all"/>
      </w:r>
      <w:bookmarkStart w:id="831" w:name="_Toc21295"/>
      <w:r>
        <w:rPr>
          <w:rStyle w:val="1217"/>
          <w:rFonts w:hint="eastAsia" w:ascii="仿宋" w:hAnsi="仿宋" w:eastAsia="仿宋" w:cs="仿宋"/>
          <w:color w:val="000000"/>
          <w:highlight w:val="none"/>
        </w:rPr>
        <w:t xml:space="preserve">第七章   投标文件格式</w:t>
      </w:r>
      <w:r>
        <w:rPr>
          <w:rStyle w:val="1217"/>
          <w:rFonts w:hint="eastAsia" w:ascii="仿宋" w:hAnsi="仿宋" w:eastAsia="仿宋" w:cs="仿宋"/>
          <w:color w:val="000000"/>
          <w:highlight w:val="none"/>
        </w:rPr>
      </w:r>
      <w:r/>
    </w:p>
    <w:p>
      <w:pPr>
        <w:pStyle w:val="1032"/>
        <w:ind w:left="142"/>
        <w:jc w:val="center"/>
        <w:spacing w:line="360" w:lineRule="auto"/>
        <w:tabs>
          <w:tab w:val="left" w:pos="900" w:leader="none"/>
          <w:tab w:val="left" w:pos="1980" w:leader="none"/>
        </w:tabs>
        <w:rPr>
          <w:rFonts w:hint="eastAsia" w:ascii="仿宋" w:hAnsi="仿宋" w:eastAsia="仿宋" w:cs="仿宋"/>
          <w:b/>
          <w:color w:val="000000"/>
          <w:sz w:val="24"/>
          <w:highlight w:val="none"/>
        </w:rPr>
      </w:pPr>
      <w:r/>
      <w:bookmarkEnd w:id="831"/>
      <w:r>
        <w:rPr>
          <w:rFonts w:hint="eastAsia" w:ascii="仿宋" w:hAnsi="仿宋" w:eastAsia="仿宋" w:cs="仿宋"/>
          <w:b/>
          <w:color w:val="000000"/>
          <w:sz w:val="24"/>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ind w:left="142"/>
        <w:jc w:val="center"/>
        <w:spacing w:line="360" w:lineRule="auto"/>
        <w:tabs>
          <w:tab w:val="left" w:pos="900" w:leader="none"/>
          <w:tab w:val="left" w:pos="1980" w:leader="none"/>
        </w:tabs>
        <w:rPr>
          <w:rFonts w:hint="eastAsia" w:ascii="仿宋" w:hAnsi="仿宋" w:eastAsia="仿宋" w:cs="仿宋"/>
          <w:b/>
          <w:color w:val="000000"/>
          <w:sz w:val="24"/>
          <w:highlight w:val="none"/>
        </w:rPr>
      </w:pPr>
      <w:r>
        <w:rPr>
          <w:rFonts w:hint="eastAsia" w:ascii="仿宋" w:hAnsi="仿宋" w:eastAsia="仿宋" w:cs="仿宋"/>
          <w:b/>
          <w:bCs/>
          <w:color w:val="000000"/>
          <w:szCs w:val="21"/>
          <w:highlight w:val="none"/>
        </w:rPr>
        <w:t xml:space="preserve">★</w:t>
      </w:r>
      <w:r>
        <w:rPr>
          <w:rFonts w:hint="eastAsia" w:ascii="仿宋" w:hAnsi="仿宋" w:eastAsia="仿宋" w:cs="仿宋"/>
          <w:b/>
          <w:color w:val="000000"/>
          <w:sz w:val="24"/>
          <w:highlight w:val="none"/>
        </w:rPr>
        <w:t xml:space="preserve">供应商编制文件须知</w:t>
      </w:r>
      <w:r>
        <w:rPr>
          <w:rFonts w:hint="eastAsia" w:ascii="仿宋" w:hAnsi="仿宋" w:eastAsia="仿宋" w:cs="仿宋"/>
          <w:b/>
          <w:color w:val="000000"/>
          <w:sz w:val="24"/>
          <w:highlight w:val="none"/>
        </w:rPr>
      </w:r>
      <w:r/>
    </w:p>
    <w:p>
      <w:pPr>
        <w:pStyle w:val="1032"/>
        <w:ind w:left="142"/>
        <w:jc w:val="center"/>
        <w:spacing w:line="360" w:lineRule="auto"/>
        <w:tabs>
          <w:tab w:val="left" w:pos="900" w:leader="none"/>
          <w:tab w:val="left" w:pos="19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1.供应商按照本部分的顺序编制投标文件（资格证明文件）、投标文件（商务技术文件），编制中涉及格式资料的，应按照本部分提供的内容和格式（所有表格的格式可扩展）填写提交。</w:t>
      </w:r>
      <w:r>
        <w:rPr>
          <w:rFonts w:hint="eastAsia" w:ascii="仿宋" w:hAnsi="仿宋" w:eastAsia="仿宋" w:cs="仿宋"/>
          <w:color w:val="000000"/>
          <w:szCs w:val="21"/>
          <w:highlight w:val="none"/>
        </w:rPr>
      </w:r>
      <w:r/>
    </w:p>
    <w:p>
      <w:pPr>
        <w:pStyle w:val="1032"/>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仿宋" w:hAnsi="仿宋" w:eastAsia="仿宋" w:cs="仿宋"/>
          <w:b/>
          <w:color w:val="000000"/>
          <w:szCs w:val="21"/>
          <w:highlight w:val="none"/>
        </w:rPr>
        <w:t xml:space="preserve">投标无效</w:t>
      </w:r>
      <w:r>
        <w:rPr>
          <w:rFonts w:hint="eastAsia" w:ascii="仿宋" w:hAnsi="仿宋" w:eastAsia="仿宋" w:cs="仿宋"/>
          <w:color w:val="000000"/>
          <w:szCs w:val="21"/>
          <w:highlight w:val="none"/>
        </w:rPr>
        <w:t xml:space="preserve">。未标记“实质性格式”的文件和招标文件未提供格式的内容，可由供应商自行编写。</w:t>
      </w:r>
      <w:r>
        <w:rPr>
          <w:rFonts w:hint="eastAsia" w:ascii="仿宋" w:hAnsi="仿宋" w:eastAsia="仿宋" w:cs="仿宋"/>
          <w:color w:val="000000"/>
          <w:szCs w:val="21"/>
          <w:highlight w:val="none"/>
        </w:rPr>
      </w:r>
      <w:r/>
    </w:p>
    <w:p>
      <w:pPr>
        <w:pStyle w:val="1032"/>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3.全部声明和问题的回答及所附材料必须是真实的、准确的和完整的。</w:t>
      </w:r>
      <w:r>
        <w:rPr>
          <w:rFonts w:hint="eastAsia" w:ascii="仿宋" w:hAnsi="仿宋" w:eastAsia="仿宋" w:cs="仿宋"/>
          <w:color w:val="000000"/>
          <w:szCs w:val="21"/>
          <w:highlight w:val="none"/>
        </w:rPr>
      </w:r>
      <w:r/>
    </w:p>
    <w:p>
      <w:pPr>
        <w:pStyle w:val="1032"/>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4.实行电子化不见面交易方式的，加盖公章、签名等均通过投标文件编制工具加盖电子公章、签字、签章或印鉴。</w:t>
      </w:r>
      <w:r>
        <w:rPr>
          <w:rFonts w:hint="eastAsia" w:ascii="仿宋" w:hAnsi="仿宋" w:eastAsia="仿宋" w:cs="仿宋"/>
          <w:color w:val="000000"/>
          <w:szCs w:val="21"/>
          <w:highlight w:val="none"/>
        </w:rPr>
      </w:r>
      <w:r/>
    </w:p>
    <w:p>
      <w:pPr>
        <w:pStyle w:val="1032"/>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b/>
          <w:color w:val="000000"/>
          <w:sz w:val="30"/>
          <w:szCs w:val="20"/>
          <w:highlight w:val="none"/>
        </w:rPr>
      </w:pPr>
      <w:r>
        <w:rPr>
          <w:rFonts w:hint="eastAsia" w:ascii="仿宋" w:hAnsi="仿宋" w:eastAsia="仿宋" w:cs="仿宋"/>
          <w:color w:val="000000"/>
          <w:sz w:val="24"/>
          <w:highlight w:val="none"/>
        </w:rPr>
        <w:br w:type="page" w:clear="all"/>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rPr>
          <w:rFonts w:hint="eastAsia" w:ascii="仿宋" w:hAnsi="仿宋" w:eastAsia="仿宋" w:cs="仿宋"/>
          <w:b/>
          <w:color w:val="000000"/>
          <w:spacing w:val="20"/>
          <w:sz w:val="24"/>
          <w:highlight w:val="none"/>
        </w:rPr>
        <w:t xml:space="preserve">一、资格证明文件格式</w:t>
      </w:r>
      <w:r>
        <w:rPr>
          <w:rFonts w:hint="eastAsia" w:ascii="仿宋" w:hAnsi="仿宋" w:eastAsia="仿宋" w:cs="仿宋"/>
          <w:b/>
          <w:color w:val="000000"/>
          <w:sz w:val="30"/>
          <w:szCs w:val="20"/>
          <w:highlight w:val="none"/>
        </w:rPr>
      </w:r>
      <w:r/>
    </w:p>
    <w:p>
      <w:pPr>
        <w:pStyle w:val="1032"/>
        <w:rPr>
          <w:rFonts w:hint="eastAsia" w:ascii="仿宋" w:hAnsi="仿宋" w:eastAsia="仿宋" w:cs="仿宋"/>
          <w:b/>
          <w:color w:val="000000"/>
          <w:spacing w:val="20"/>
          <w:szCs w:val="21"/>
          <w:highlight w:val="none"/>
        </w:rPr>
      </w:pPr>
      <w:r>
        <w:rPr>
          <w:rFonts w:hint="eastAsia" w:ascii="仿宋" w:hAnsi="仿宋" w:eastAsia="仿宋" w:cs="仿宋"/>
          <w:b/>
          <w:color w:val="000000"/>
          <w:spacing w:val="20"/>
          <w:szCs w:val="21"/>
          <w:highlight w:val="none"/>
        </w:rPr>
      </w:r>
      <w:r/>
    </w:p>
    <w:p>
      <w:pPr>
        <w:pStyle w:val="1032"/>
        <w:rPr>
          <w:rFonts w:hint="eastAsia" w:ascii="仿宋" w:hAnsi="仿宋" w:eastAsia="仿宋" w:cs="仿宋"/>
          <w:b/>
          <w:color w:val="000000"/>
          <w:sz w:val="24"/>
          <w:highlight w:val="none"/>
        </w:rPr>
      </w:pPr>
      <w:r>
        <w:rPr>
          <w:rFonts w:hint="eastAsia" w:ascii="仿宋" w:hAnsi="仿宋" w:eastAsia="仿宋" w:cs="仿宋"/>
          <w:b/>
          <w:color w:val="000000"/>
          <w:spacing w:val="20"/>
          <w:sz w:val="24"/>
          <w:highlight w:val="none"/>
        </w:rPr>
        <w:t xml:space="preserve">投标文件</w:t>
      </w:r>
      <w:r>
        <w:rPr>
          <w:rFonts w:hint="eastAsia" w:ascii="仿宋" w:hAnsi="仿宋" w:eastAsia="仿宋" w:cs="仿宋"/>
          <w:b/>
          <w:color w:val="000000"/>
          <w:sz w:val="24"/>
          <w:highlight w:val="none"/>
        </w:rPr>
        <w:t xml:space="preserve">封面（非实质性格式）</w:t>
      </w:r>
      <w:r>
        <w:rPr>
          <w:rFonts w:hint="eastAsia" w:ascii="仿宋" w:hAnsi="仿宋" w:eastAsia="仿宋" w:cs="仿宋"/>
          <w:b/>
          <w:color w:val="000000"/>
          <w:sz w:val="24"/>
          <w:highlight w:val="none"/>
        </w:rPr>
      </w:r>
      <w:r/>
    </w:p>
    <w:p>
      <w:pPr>
        <w:pStyle w:val="103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2"/>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1032"/>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1032"/>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t xml:space="preserve">投 标 文 件</w:t>
      </w:r>
      <w:r>
        <w:rPr>
          <w:rFonts w:hint="eastAsia" w:ascii="仿宋" w:hAnsi="仿宋" w:eastAsia="仿宋" w:cs="仿宋"/>
          <w:b/>
          <w:color w:val="000000"/>
          <w:spacing w:val="60"/>
          <w:sz w:val="84"/>
          <w:szCs w:val="84"/>
          <w:highlight w:val="none"/>
        </w:rPr>
      </w:r>
      <w:r/>
    </w:p>
    <w:p>
      <w:pPr>
        <w:pStyle w:val="1032"/>
        <w:ind w:firstLine="96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032"/>
        <w:ind w:firstLine="96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032"/>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pStyle w:val="1032"/>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tbl>
      <w:tblPr>
        <w:tblW w:w="903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名 称：</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常州市钟楼区五星街道社区卫生服务中心职工食堂委托经营服务（二次）</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编 号：</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lang w:eastAsia="zh-CN"/>
              </w:rPr>
              <w:t xml:space="preserve">JSZC-320404-SCJX-G2026-0011</w:t>
            </w:r>
            <w:r>
              <w:rPr>
                <w:rFonts w:hint="eastAsia" w:ascii="仿宋" w:hAnsi="仿宋" w:eastAsia="仿宋" w:cs="仿宋"/>
                <w:b/>
                <w:color w:val="000000"/>
                <w:sz w:val="32"/>
                <w:szCs w:val="32"/>
                <w:highlight w:val="none"/>
                <w:u w:val="single"/>
              </w:rPr>
              <w:t xml:space="preserve">               </w:t>
            </w:r>
            <w:r>
              <w:rPr>
                <w:rFonts w:hint="eastAsia" w:ascii="仿宋" w:hAnsi="仿宋" w:eastAsia="仿宋" w:cs="仿宋"/>
                <w:bCs/>
                <w:color w:val="000000"/>
                <w:sz w:val="36"/>
                <w:szCs w:val="36"/>
                <w:highlight w:val="none"/>
                <w:u w:val="single"/>
              </w:rPr>
            </w:r>
            <w:r/>
          </w:p>
        </w:tc>
      </w:tr>
      <w:tr>
        <w:trPr>
          <w:trHeight w:val="98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投   标  人：</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r>
            <w:r/>
          </w:p>
        </w:tc>
      </w:tr>
      <w:tr>
        <w:trPr>
          <w:trHeight w:val="995"/>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日       期：</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Cs/>
                <w:color w:val="000000"/>
                <w:sz w:val="36"/>
                <w:szCs w:val="36"/>
                <w:highlight w:val="none"/>
                <w:u w:val="single"/>
              </w:rPr>
            </w:r>
            <w:r/>
          </w:p>
        </w:tc>
      </w:tr>
    </w:tbl>
    <w:p>
      <w:pPr>
        <w:pStyle w:val="1032"/>
        <w:rPr>
          <w:rFonts w:hint="eastAsia" w:ascii="仿宋" w:hAnsi="仿宋" w:eastAsia="仿宋" w:cs="仿宋"/>
          <w:b/>
          <w:color w:val="000000"/>
          <w:sz w:val="36"/>
          <w:highlight w:val="none"/>
        </w:rPr>
      </w:pP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1032"/>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32"/>
        <w:jc w:val="center"/>
        <w:rPr>
          <w:rFonts w:hint="eastAsia" w:ascii="仿宋" w:hAnsi="仿宋" w:eastAsia="仿宋" w:cs="仿宋"/>
          <w:b/>
          <w:color w:val="000000"/>
          <w:sz w:val="32"/>
          <w:szCs w:val="32"/>
          <w:highlight w:val="none"/>
        </w:rPr>
      </w:pPr>
      <w:r>
        <w:rPr>
          <w:rFonts w:hint="eastAsia" w:ascii="仿宋" w:hAnsi="仿宋" w:eastAsia="仿宋" w:cs="仿宋"/>
          <w:b/>
          <w:color w:val="000000"/>
          <w:spacing w:val="20"/>
          <w:sz w:val="32"/>
          <w:szCs w:val="32"/>
          <w:highlight w:val="none"/>
        </w:rPr>
        <w:br w:type="page" w:clear="all"/>
      </w:r>
      <w:r>
        <w:rPr>
          <w:rFonts w:hint="eastAsia" w:ascii="仿宋" w:hAnsi="仿宋" w:eastAsia="仿宋" w:cs="仿宋"/>
          <w:b/>
          <w:color w:val="000000"/>
          <w:sz w:val="32"/>
          <w:szCs w:val="32"/>
          <w:highlight w:val="none"/>
        </w:rPr>
        <w:t xml:space="preserve">一、资格证明文件</w:t>
      </w:r>
      <w:r>
        <w:rPr>
          <w:rFonts w:hint="eastAsia" w:ascii="仿宋" w:hAnsi="仿宋" w:eastAsia="仿宋" w:cs="仿宋"/>
          <w:b/>
          <w:color w:val="000000"/>
          <w:sz w:val="32"/>
          <w:szCs w:val="32"/>
          <w:highlight w:val="none"/>
        </w:rPr>
      </w:r>
      <w:r/>
    </w:p>
    <w:p>
      <w:pPr>
        <w:pStyle w:val="1032"/>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t xml:space="preserve">1 </w:t>
      </w:r>
      <w:r>
        <w:rPr>
          <w:rFonts w:hint="eastAsia" w:ascii="仿宋" w:hAnsi="仿宋" w:eastAsia="仿宋" w:cs="仿宋"/>
          <w:color w:val="000000"/>
          <w:sz w:val="24"/>
          <w:highlight w:val="none"/>
        </w:rPr>
        <w:t xml:space="preserve">满足《中华人民共和国政府采购法》第二十二条规定及法律法规的其他规定</w:t>
      </w:r>
      <w:r>
        <w:rPr>
          <w:rFonts w:hint="eastAsia" w:ascii="仿宋" w:hAnsi="仿宋" w:eastAsia="仿宋" w:cs="仿宋"/>
          <w:color w:val="000000"/>
          <w:sz w:val="24"/>
          <w:szCs w:val="20"/>
          <w:highlight w:val="none"/>
        </w:rPr>
      </w:r>
      <w:r/>
    </w:p>
    <w:p>
      <w:pPr>
        <w:pStyle w:val="1220"/>
        <w:rPr>
          <w:rFonts w:hint="eastAsia" w:ascii="仿宋" w:hAnsi="仿宋" w:eastAsia="仿宋" w:cs="仿宋"/>
          <w:bCs/>
          <w:color w:val="000000"/>
          <w:highlight w:val="none"/>
          <w:u w:val="none"/>
        </w:rPr>
      </w:pPr>
      <w:r>
        <w:rPr>
          <w:rFonts w:hint="eastAsia" w:ascii="仿宋" w:hAnsi="仿宋" w:eastAsia="仿宋" w:cs="仿宋"/>
          <w:bCs/>
          <w:color w:val="000000"/>
          <w:highlight w:val="none"/>
          <w:u w:val="none"/>
        </w:rPr>
        <w:t xml:space="preserve">1-1 供应商资格声明函（实质性格式）</w:t>
      </w:r>
      <w:r>
        <w:rPr>
          <w:rFonts w:hint="eastAsia" w:ascii="仿宋" w:hAnsi="仿宋" w:eastAsia="仿宋" w:cs="仿宋"/>
          <w:bCs/>
          <w:color w:val="000000"/>
          <w:highlight w:val="none"/>
          <w:u w:val="none"/>
        </w:rPr>
      </w:r>
      <w:r/>
    </w:p>
    <w:p>
      <w:pPr>
        <w:pStyle w:val="1032"/>
        <w:jc w:val="center"/>
        <w:spacing w:before="120" w:line="360" w:lineRule="auto"/>
        <w:widowControl/>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032"/>
        <w:jc w:val="center"/>
        <w:spacing w:before="120" w:line="360" w:lineRule="auto"/>
        <w:widowControl/>
        <w:rPr>
          <w:rFonts w:hint="eastAsia" w:ascii="仿宋" w:hAnsi="仿宋" w:eastAsia="仿宋" w:cs="仿宋"/>
          <w:color w:val="000000"/>
          <w:szCs w:val="21"/>
          <w:highlight w:val="none"/>
        </w:rPr>
      </w:pPr>
      <w:r>
        <w:rPr>
          <w:rFonts w:hint="eastAsia" w:ascii="仿宋" w:hAnsi="仿宋" w:eastAsia="仿宋" w:cs="仿宋"/>
          <w:b/>
          <w:color w:val="000000"/>
          <w:sz w:val="28"/>
          <w:szCs w:val="28"/>
          <w:highlight w:val="none"/>
        </w:rPr>
        <w:t xml:space="preserve">供应商资格声明函</w:t>
      </w:r>
      <w:r>
        <w:rPr>
          <w:rFonts w:hint="eastAsia" w:ascii="仿宋" w:hAnsi="仿宋" w:eastAsia="仿宋" w:cs="仿宋"/>
          <w:color w:val="000000"/>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致：</w:t>
      </w:r>
      <w:r>
        <w:rPr>
          <w:rFonts w:hint="eastAsia" w:ascii="仿宋" w:hAnsi="仿宋" w:eastAsia="仿宋" w:cs="仿宋"/>
          <w:color w:val="000000"/>
          <w:sz w:val="21"/>
          <w:szCs w:val="21"/>
          <w:highlight w:val="none"/>
          <w:u w:val="single"/>
          <w:lang w:eastAsia="zh-CN"/>
        </w:rPr>
        <w:t xml:space="preserve">常州市钟楼区五星街道社区卫生服务中心</w:t>
      </w:r>
      <w:r>
        <w:rPr>
          <w:rFonts w:hint="eastAsia" w:ascii="仿宋" w:hAnsi="仿宋" w:eastAsia="仿宋" w:cs="仿宋"/>
          <w:color w:val="000000"/>
          <w:sz w:val="21"/>
          <w:szCs w:val="21"/>
          <w:highlight w:val="none"/>
          <w:u w:val="single"/>
        </w:rPr>
        <w:t xml:space="preserve">、江苏城建校工程咨询有限公司</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按照《中华人民共和国政府采购法》第二十二条和招标文件的规定，我单位郑重声明如下：</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一、我单位是按照中华人民共和国法律规定登记注册的，注册地点为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，全称为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，统一社会信用代码为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，法定代表人（单位负责人）为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，具有独立承担民事责任的能力。</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二、我单位具有良好的商业信誉（指供应商经营状况良好，无本资格声明第九条情形）和健全的财务会计制度。</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三、我单位依法进行纳税和社会保险申报并实际履行了义务。</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主要设备有：            </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主要专业技术能力有                 </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六、我单位具备法律、行政法规规定的其他条件。</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七、与我单位存在“单位负责人为同一人或者存在直接控股、管理关系”的其他单位信息如下（如无此情形的，填写“无”）：</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1、与我单位的法定代表人（单位负责人）为同一人的其他单位如下：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13"/>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2、我单位直接控股的其他单位如下：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13"/>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3、与我单位存在管理关系的其他单位如下：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八、我单位不属于为本项目提供整体设计、规范编制或者项目管理、监理、检测等服务的投标人。</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九、我单位无以下不良信用记录情形：</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1.在“信用中国”网站被列入失信被执行人和重大税收违法案件当事人名单；</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2.在“中国政府采购网”网站被列入政府采购严重违法失信行为记录名单；</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3.我单位未被“国家企业信用信息系统”列入经营异常名录或者严重违法企业名单</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不符合《政府采购法》第二十二条规定的条件。</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我单位保证上述声明的事项都是真实的，如有虚假，我单位愿意承担相应的法律责任，并承担因此所造成的一切损失。</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供应商：（加盖公章）</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法定代表人（或单位负责人）签字或盖章：</w:t>
      </w:r>
      <w:r>
        <w:rPr>
          <w:rFonts w:hint="eastAsia" w:ascii="仿宋" w:hAnsi="仿宋" w:eastAsia="仿宋" w:cs="仿宋"/>
          <w:color w:val="000000"/>
          <w:sz w:val="21"/>
          <w:szCs w:val="21"/>
          <w:highlight w:val="none"/>
        </w:rPr>
      </w:r>
      <w:r/>
    </w:p>
    <w:p>
      <w:pPr>
        <w:pStyle w:val="1313"/>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日期：    年    月    日</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说明：供应商承诺不实的，依据《政府采购法》第七十七条“提供虚假材料谋取中标、成交的”有关规定予以处理。</w:t>
      </w:r>
      <w:r>
        <w:rPr>
          <w:rFonts w:hint="eastAsia" w:ascii="仿宋" w:hAnsi="仿宋" w:eastAsia="仿宋" w:cs="仿宋"/>
          <w:color w:val="000000"/>
          <w:sz w:val="21"/>
          <w:szCs w:val="21"/>
          <w:highlight w:val="none"/>
        </w:rPr>
      </w:r>
      <w:r/>
    </w:p>
    <w:p>
      <w:pPr>
        <w:pStyle w:val="1032"/>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b/>
          <w:bCs/>
          <w:color w:val="000000"/>
          <w:szCs w:val="21"/>
          <w:highlight w:val="none"/>
        </w:rPr>
        <w:br w:type="page" w:clear="all"/>
      </w:r>
      <w:r>
        <w:rPr>
          <w:rFonts w:hint="eastAsia" w:ascii="仿宋" w:hAnsi="仿宋" w:eastAsia="仿宋" w:cs="仿宋"/>
          <w:color w:val="000000"/>
          <w:sz w:val="24"/>
          <w:szCs w:val="20"/>
          <w:highlight w:val="none"/>
        </w:rPr>
        <w:t xml:space="preserve">2 落实政府采购政策需满足的资格要求</w:t>
      </w: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b/>
          <w:bCs/>
          <w:color w:val="000000"/>
          <w:sz w:val="24"/>
          <w:szCs w:val="20"/>
          <w:highlight w:val="none"/>
        </w:rPr>
        <w:outlineLvl w:val="2"/>
      </w:pPr>
      <w:r>
        <w:rPr>
          <w:rFonts w:hint="eastAsia" w:ascii="仿宋" w:hAnsi="仿宋" w:eastAsia="仿宋" w:cs="仿宋"/>
          <w:b/>
          <w:bCs/>
          <w:color w:val="000000"/>
          <w:szCs w:val="21"/>
          <w:highlight w:val="none"/>
        </w:rPr>
        <w:t xml:space="preserve">中小企业声明函</w:t>
      </w:r>
      <w:r>
        <w:rPr>
          <w:rFonts w:hint="eastAsia" w:ascii="仿宋" w:hAnsi="仿宋" w:eastAsia="仿宋" w:cs="仿宋"/>
          <w:b/>
          <w:bCs/>
          <w:color w:val="000000"/>
          <w:sz w:val="24"/>
          <w:szCs w:val="20"/>
          <w:highlight w:val="none"/>
        </w:rPr>
      </w:r>
      <w:r/>
    </w:p>
    <w:p>
      <w:pPr>
        <w:pStyle w:val="1032"/>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说明：</w:t>
      </w:r>
      <w:r>
        <w:rPr>
          <w:rFonts w:hint="eastAsia" w:ascii="仿宋" w:hAnsi="仿宋" w:eastAsia="仿宋" w:cs="仿宋"/>
          <w:color w:val="000000"/>
          <w:szCs w:val="21"/>
          <w:highlight w:val="none"/>
        </w:rPr>
      </w:r>
      <w:r/>
    </w:p>
    <w:p>
      <w:pPr>
        <w:pStyle w:val="1032"/>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rPr>
          <w:rFonts w:hint="eastAsia" w:ascii="仿宋" w:hAnsi="仿宋" w:eastAsia="仿宋" w:cs="仿宋"/>
          <w:color w:val="000000"/>
          <w:szCs w:val="21"/>
          <w:highlight w:val="none"/>
        </w:rPr>
      </w:r>
      <w:r/>
    </w:p>
    <w:p>
      <w:pPr>
        <w:pStyle w:val="1032"/>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仿宋" w:hAnsi="仿宋" w:eastAsia="仿宋" w:cs="仿宋"/>
          <w:color w:val="000000"/>
          <w:szCs w:val="21"/>
          <w:highlight w:val="none"/>
        </w:rPr>
      </w:r>
      <w:r/>
    </w:p>
    <w:p>
      <w:pPr>
        <w:pStyle w:val="1032"/>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3）对于多标的的采购项目，供应商应充分、准确地了解所投产品制造企业信息。对相关情况了解不清楚的，不建议填报本声明函。</w:t>
      </w:r>
      <w:r>
        <w:rPr>
          <w:rFonts w:hint="eastAsia" w:ascii="仿宋" w:hAnsi="仿宋" w:eastAsia="仿宋" w:cs="仿宋"/>
          <w:color w:val="000000"/>
          <w:szCs w:val="21"/>
          <w:highlight w:val="none"/>
        </w:rPr>
      </w:r>
      <w:r/>
    </w:p>
    <w:p>
      <w:pPr>
        <w:pStyle w:val="1032"/>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4）中小企业认定标准以《关于印发中小企业划型标准规定的通知》（工信部联企业〔2011〕300号）文件规定为准。</w:t>
      </w:r>
      <w:r>
        <w:rPr>
          <w:rFonts w:hint="eastAsia" w:ascii="仿宋" w:hAnsi="仿宋" w:eastAsia="仿宋" w:cs="仿宋"/>
          <w:color w:val="000000"/>
          <w:szCs w:val="21"/>
          <w:highlight w:val="none"/>
        </w:rPr>
      </w:r>
      <w:r/>
    </w:p>
    <w:p>
      <w:pPr>
        <w:pStyle w:val="1032"/>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仿宋" w:hAnsi="仿宋" w:eastAsia="仿宋" w:cs="仿宋"/>
          <w:color w:val="000000"/>
          <w:szCs w:val="21"/>
          <w:highlight w:val="none"/>
        </w:rPr>
        <w:fldChar w:fldCharType="begin"/>
      </w:r>
      <w:r>
        <w:rPr>
          <w:rFonts w:hint="eastAsia" w:ascii="仿宋" w:hAnsi="仿宋" w:eastAsia="仿宋" w:cs="仿宋"/>
          <w:color w:val="000000"/>
          <w:szCs w:val="21"/>
          <w:highlight w:val="none"/>
        </w:rPr>
        <w:instrText xml:space="preserve"> HYPERLINK "http://202.106.120.146/baosong/appweb/orgScale.html" </w:instrText>
      </w:r>
      <w:r>
        <w:rPr>
          <w:rFonts w:hint="eastAsia" w:ascii="仿宋" w:hAnsi="仿宋" w:eastAsia="仿宋" w:cs="仿宋"/>
          <w:color w:val="000000"/>
          <w:szCs w:val="21"/>
          <w:highlight w:val="none"/>
        </w:rPr>
        <w:fldChar w:fldCharType="separate"/>
      </w:r>
      <w:r>
        <w:rPr>
          <w:rStyle w:val="1295"/>
          <w:rFonts w:hint="eastAsia" w:ascii="仿宋" w:hAnsi="仿宋" w:eastAsia="仿宋" w:cs="仿宋"/>
          <w:color w:val="000000"/>
          <w:szCs w:val="21"/>
          <w:highlight w:val="none"/>
        </w:rPr>
        <w:t xml:space="preserve">http://202.106.120.146/baosong/appweb/orgScale.html</w:t>
      </w:r>
      <w:r>
        <w:rPr>
          <w:rFonts w:hint="eastAsia" w:ascii="仿宋" w:hAnsi="仿宋" w:eastAsia="仿宋" w:cs="仿宋"/>
          <w:color w:val="000000"/>
          <w:szCs w:val="21"/>
          <w:highlight w:val="none"/>
        </w:rPr>
        <w:fldChar w:fldCharType="end"/>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032"/>
        <w:spacing w:line="360" w:lineRule="auto"/>
        <w:tabs>
          <w:tab w:val="left" w:pos="5580" w:leader="none"/>
        </w:tabs>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b/>
          <w:color w:val="000000"/>
          <w:szCs w:val="21"/>
          <w:highlight w:val="none"/>
        </w:rPr>
        <w:t xml:space="preserve">在货物采购项目中，供应商提供的货物既有中型企业制造货物，也有小微企业制造货物的，不享受小微企业扶持政策，不予价格扣除。</w:t>
      </w:r>
      <w:r>
        <w:rPr>
          <w:rFonts w:hint="eastAsia" w:ascii="仿宋" w:hAnsi="仿宋" w:eastAsia="仿宋" w:cs="仿宋"/>
          <w:b/>
          <w:color w:val="000000"/>
          <w:szCs w:val="21"/>
          <w:highlight w:val="none"/>
        </w:rPr>
      </w:r>
      <w:r/>
    </w:p>
    <w:p>
      <w:pPr>
        <w:pStyle w:val="1032"/>
        <w:spacing w:line="360" w:lineRule="auto"/>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7）小微企业未提供声明函的，价格分评审将不予价格扣除。</w:t>
      </w:r>
      <w:r>
        <w:rPr>
          <w:rFonts w:hint="eastAsia" w:ascii="仿宋" w:hAnsi="仿宋" w:eastAsia="仿宋" w:cs="仿宋"/>
          <w:b/>
          <w:color w:val="000000"/>
          <w:szCs w:val="21"/>
          <w:highlight w:val="none"/>
        </w:rPr>
      </w:r>
      <w:r/>
    </w:p>
    <w:p>
      <w:pPr>
        <w:pStyle w:val="1032"/>
        <w:ind w:firstLine="422"/>
        <w:spacing w:line="360" w:lineRule="auto"/>
        <w:tabs>
          <w:tab w:val="left" w:pos="5580" w:leader="none"/>
        </w:tabs>
        <w:rPr>
          <w:rStyle w:val="1443"/>
          <w:rFonts w:hint="eastAsia" w:ascii="仿宋" w:hAnsi="仿宋" w:eastAsia="仿宋" w:cs="仿宋"/>
          <w:b/>
          <w:bCs/>
          <w:color w:val="000000"/>
          <w:sz w:val="21"/>
          <w:szCs w:val="21"/>
          <w:highlight w:val="none"/>
        </w:rPr>
      </w:pPr>
      <w:r>
        <w:rPr>
          <w:rStyle w:val="1443"/>
          <w:rFonts w:hint="eastAsia" w:ascii="仿宋" w:hAnsi="仿宋" w:eastAsia="仿宋" w:cs="仿宋"/>
          <w:b/>
          <w:bCs/>
          <w:color w:val="000000"/>
          <w:sz w:val="21"/>
          <w:szCs w:val="21"/>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Style w:val="1443"/>
          <w:rFonts w:hint="eastAsia" w:ascii="仿宋" w:hAnsi="仿宋" w:eastAsia="仿宋" w:cs="仿宋"/>
          <w:b/>
          <w:bCs/>
          <w:color w:val="000000"/>
          <w:sz w:val="21"/>
          <w:szCs w:val="21"/>
          <w:highlight w:val="none"/>
        </w:rPr>
      </w:r>
      <w:r/>
    </w:p>
    <w:p>
      <w:pPr>
        <w:pStyle w:val="1032"/>
        <w:ind w:firstLine="422"/>
        <w:spacing w:line="360" w:lineRule="auto"/>
        <w:tabs>
          <w:tab w:val="left" w:pos="5580" w:leader="none"/>
        </w:tabs>
        <w:rPr>
          <w:rStyle w:val="1443"/>
          <w:rFonts w:hint="eastAsia" w:ascii="仿宋" w:hAnsi="仿宋" w:eastAsia="仿宋" w:cs="仿宋"/>
          <w:b/>
          <w:bCs/>
          <w:color w:val="000000"/>
          <w:sz w:val="21"/>
          <w:szCs w:val="21"/>
          <w:highlight w:val="none"/>
        </w:rPr>
      </w:pPr>
      <w:r>
        <w:rPr>
          <w:rStyle w:val="1443"/>
          <w:rFonts w:hint="eastAsia" w:ascii="仿宋" w:hAnsi="仿宋" w:eastAsia="仿宋" w:cs="仿宋"/>
          <w:b/>
          <w:bCs/>
          <w:color w:val="000000"/>
          <w:sz w:val="21"/>
          <w:szCs w:val="21"/>
          <w:highlight w:val="none"/>
        </w:rPr>
      </w:r>
      <w:r/>
    </w:p>
    <w:p>
      <w:pPr>
        <w:pStyle w:val="1032"/>
        <w:jc w:val="center"/>
        <w:spacing w:before="312" w:after="312" w:line="360" w:lineRule="auto"/>
        <w:shd w:val="clear" w:color="auto" w:fill="ffffff"/>
        <w:rPr>
          <w:rFonts w:hint="eastAsia" w:ascii="仿宋" w:hAnsi="仿宋" w:eastAsia="仿宋" w:cs="仿宋"/>
          <w:b/>
          <w:bCs/>
          <w:color w:val="000000"/>
          <w:sz w:val="36"/>
          <w:szCs w:val="36"/>
          <w:highlight w:val="none"/>
        </w:rPr>
      </w:pPr>
      <w:r>
        <w:rPr>
          <w:rFonts w:hint="eastAsia" w:ascii="仿宋" w:hAnsi="仿宋" w:eastAsia="仿宋" w:cs="仿宋"/>
          <w:color w:val="000000"/>
          <w:highlight w:val="none"/>
        </w:rPr>
        <w:br w:type="page" w:clear="all"/>
      </w:r>
      <w:r>
        <w:rPr>
          <w:rFonts w:hint="eastAsia" w:ascii="仿宋" w:hAnsi="仿宋" w:eastAsia="仿宋" w:cs="仿宋"/>
          <w:b/>
          <w:bCs/>
          <w:color w:val="000000"/>
          <w:sz w:val="36"/>
          <w:szCs w:val="36"/>
          <w:highlight w:val="none"/>
        </w:rPr>
        <w:t xml:space="preserve">中小企业声明函（</w:t>
      </w:r>
      <w:r>
        <w:rPr>
          <w:rFonts w:hint="eastAsia" w:ascii="仿宋" w:hAnsi="仿宋" w:eastAsia="仿宋" w:cs="仿宋"/>
          <w:b/>
          <w:bCs/>
          <w:color w:val="000000"/>
          <w:sz w:val="36"/>
          <w:szCs w:val="36"/>
          <w:highlight w:val="none"/>
          <w:lang w:val="en-US" w:eastAsia="zh-CN"/>
        </w:rPr>
        <w:t xml:space="preserve">服务</w:t>
      </w:r>
      <w:r>
        <w:rPr>
          <w:rFonts w:hint="eastAsia" w:ascii="仿宋" w:hAnsi="仿宋" w:eastAsia="仿宋" w:cs="仿宋"/>
          <w:b/>
          <w:bCs/>
          <w:color w:val="000000"/>
          <w:sz w:val="36"/>
          <w:szCs w:val="36"/>
          <w:highlight w:val="none"/>
        </w:rPr>
        <w:t xml:space="preserve">）格式</w:t>
      </w:r>
      <w:r>
        <w:rPr>
          <w:rFonts w:hint="eastAsia" w:ascii="仿宋" w:hAnsi="仿宋" w:eastAsia="仿宋" w:cs="仿宋"/>
          <w:b/>
          <w:bCs/>
          <w:color w:val="000000"/>
          <w:sz w:val="36"/>
          <w:szCs w:val="36"/>
          <w:highlight w:val="none"/>
        </w:rPr>
      </w:r>
      <w:r/>
    </w:p>
    <w:p>
      <w:pPr>
        <w:pStyle w:val="1032"/>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本公司（联合体）郑重声明，根据《政府采购促进中小企业发展管理办法》（财库﹝2020﹞46 号）的规定，本公司（联合体）参加</w:t>
      </w:r>
      <w:r>
        <w:rPr>
          <w:rFonts w:hint="eastAsia" w:ascii="仿宋" w:hAnsi="仿宋" w:eastAsia="仿宋" w:cs="仿宋"/>
          <w:color w:val="000000"/>
          <w:spacing w:val="6"/>
          <w:szCs w:val="21"/>
          <w:highlight w:val="none"/>
          <w:u w:val="single"/>
        </w:rPr>
        <w:t xml:space="preserve">（</w:t>
      </w:r>
      <w:r>
        <w:rPr>
          <w:rFonts w:hint="eastAsia" w:ascii="仿宋" w:hAnsi="仿宋" w:eastAsia="仿宋" w:cs="仿宋"/>
          <w:color w:val="000000"/>
          <w:spacing w:val="6"/>
          <w:szCs w:val="21"/>
          <w:highlight w:val="none"/>
          <w:u w:val="single"/>
          <w:lang w:val="en-US" w:eastAsia="zh-CN"/>
        </w:rPr>
        <w:t xml:space="preserve">采购</w:t>
      </w:r>
      <w:r>
        <w:rPr>
          <w:rFonts w:hint="eastAsia" w:ascii="仿宋" w:hAnsi="仿宋" w:eastAsia="仿宋" w:cs="仿宋"/>
          <w:color w:val="000000"/>
          <w:spacing w:val="6"/>
          <w:szCs w:val="21"/>
          <w:highlight w:val="none"/>
          <w:u w:val="single"/>
        </w:rPr>
        <w:t xml:space="preserve">单位名称）</w:t>
      </w:r>
      <w:r>
        <w:rPr>
          <w:rFonts w:hint="eastAsia" w:ascii="仿宋" w:hAnsi="仿宋" w:eastAsia="仿宋" w:cs="仿宋"/>
          <w:color w:val="000000"/>
          <w:spacing w:val="6"/>
          <w:szCs w:val="21"/>
          <w:highlight w:val="none"/>
        </w:rPr>
        <w:t xml:space="preserve">的</w:t>
      </w:r>
      <w:r>
        <w:rPr>
          <w:rFonts w:hint="eastAsia" w:ascii="仿宋" w:hAnsi="仿宋" w:eastAsia="仿宋" w:cs="仿宋"/>
          <w:color w:val="000000"/>
          <w:spacing w:val="6"/>
          <w:szCs w:val="21"/>
          <w:highlight w:val="none"/>
          <w:u w:val="single"/>
        </w:rPr>
        <w:t xml:space="preserve">（项目名称）</w:t>
      </w:r>
      <w:r>
        <w:rPr>
          <w:rFonts w:hint="eastAsia" w:ascii="仿宋" w:hAnsi="仿宋" w:eastAsia="仿宋" w:cs="仿宋"/>
          <w:color w:val="000000"/>
          <w:spacing w:val="6"/>
          <w:szCs w:val="21"/>
          <w:highlight w:val="none"/>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pacing w:val="6"/>
          <w:szCs w:val="21"/>
          <w:highlight w:val="none"/>
        </w:rPr>
      </w:r>
      <w:r/>
    </w:p>
    <w:p>
      <w:pPr>
        <w:pStyle w:val="1032"/>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1.</w:t>
      </w:r>
      <w:r>
        <w:rPr>
          <w:rFonts w:hint="eastAsia" w:ascii="仿宋" w:hAnsi="仿宋" w:eastAsia="仿宋" w:cs="仿宋"/>
          <w:color w:val="000000"/>
          <w:spacing w:val="6"/>
          <w:szCs w:val="21"/>
          <w:highlight w:val="none"/>
          <w:u w:val="single"/>
        </w:rPr>
        <w:t xml:space="preserve">（标的名称）</w:t>
      </w:r>
      <w:r>
        <w:rPr>
          <w:rFonts w:hint="eastAsia" w:ascii="仿宋" w:hAnsi="仿宋" w:eastAsia="仿宋" w:cs="仿宋"/>
          <w:color w:val="000000"/>
          <w:spacing w:val="6"/>
          <w:szCs w:val="21"/>
          <w:highlight w:val="none"/>
        </w:rPr>
        <w:t xml:space="preserve">，属于</w:t>
      </w:r>
      <w:r>
        <w:rPr>
          <w:rFonts w:hint="eastAsia" w:ascii="仿宋" w:hAnsi="仿宋" w:eastAsia="仿宋" w:cs="仿宋"/>
          <w:color w:val="000000"/>
          <w:spacing w:val="6"/>
          <w:szCs w:val="21"/>
          <w:highlight w:val="none"/>
          <w:u w:val="single"/>
        </w:rPr>
        <w:t xml:space="preserve">（采购文件中明确的所属行业）</w:t>
      </w:r>
      <w:r>
        <w:rPr>
          <w:rFonts w:hint="eastAsia" w:ascii="仿宋" w:hAnsi="仿宋" w:eastAsia="仿宋" w:cs="仿宋"/>
          <w:color w:val="000000"/>
          <w:spacing w:val="6"/>
          <w:szCs w:val="21"/>
          <w:highlight w:val="none"/>
        </w:rPr>
        <w:t xml:space="preserve">行业；承建（承接）企业为</w:t>
      </w:r>
      <w:r>
        <w:rPr>
          <w:rFonts w:hint="eastAsia" w:ascii="仿宋" w:hAnsi="仿宋" w:eastAsia="仿宋" w:cs="仿宋"/>
          <w:color w:val="000000"/>
          <w:spacing w:val="6"/>
          <w:szCs w:val="21"/>
          <w:highlight w:val="none"/>
          <w:u w:val="single"/>
        </w:rPr>
        <w:t xml:space="preserve">（企业名称）</w:t>
      </w:r>
      <w:r>
        <w:rPr>
          <w:rFonts w:hint="eastAsia" w:ascii="仿宋" w:hAnsi="仿宋" w:eastAsia="仿宋" w:cs="仿宋"/>
          <w:color w:val="000000"/>
          <w:spacing w:val="6"/>
          <w:szCs w:val="21"/>
          <w:highlight w:val="none"/>
        </w:rPr>
        <w:t xml:space="preserve">，从业人员______人，营业收入为______万元，资产总额为______万元</w:t>
      </w:r>
      <w:r>
        <w:rPr>
          <w:rFonts w:hint="eastAsia" w:ascii="仿宋" w:hAnsi="仿宋" w:eastAsia="仿宋" w:cs="仿宋"/>
          <w:color w:val="000000"/>
          <w:spacing w:val="6"/>
          <w:szCs w:val="21"/>
          <w:highlight w:val="none"/>
          <w:vertAlign w:val="superscript"/>
        </w:rPr>
        <w:t xml:space="preserve">1</w:t>
      </w:r>
      <w:r>
        <w:rPr>
          <w:rFonts w:hint="eastAsia" w:ascii="仿宋" w:hAnsi="仿宋" w:eastAsia="仿宋" w:cs="仿宋"/>
          <w:color w:val="000000"/>
          <w:spacing w:val="6"/>
          <w:szCs w:val="21"/>
          <w:highlight w:val="none"/>
        </w:rPr>
        <w:t xml:space="preserve">，属于（中型企业、小型企业、微型企业）；</w:t>
      </w:r>
      <w:r>
        <w:rPr>
          <w:rFonts w:hint="eastAsia" w:ascii="仿宋" w:hAnsi="仿宋" w:eastAsia="仿宋" w:cs="仿宋"/>
          <w:color w:val="000000"/>
          <w:spacing w:val="6"/>
          <w:szCs w:val="21"/>
          <w:highlight w:val="none"/>
        </w:rPr>
      </w:r>
      <w:r/>
    </w:p>
    <w:p>
      <w:pPr>
        <w:pStyle w:val="1032"/>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2.</w:t>
      </w:r>
      <w:r>
        <w:rPr>
          <w:rFonts w:hint="eastAsia" w:ascii="仿宋" w:hAnsi="仿宋" w:eastAsia="仿宋" w:cs="仿宋"/>
          <w:color w:val="000000"/>
          <w:spacing w:val="6"/>
          <w:szCs w:val="21"/>
          <w:highlight w:val="none"/>
          <w:u w:val="single"/>
        </w:rPr>
        <w:t xml:space="preserve">（标的名称）</w:t>
      </w:r>
      <w:r>
        <w:rPr>
          <w:rFonts w:hint="eastAsia" w:ascii="仿宋" w:hAnsi="仿宋" w:eastAsia="仿宋" w:cs="仿宋"/>
          <w:color w:val="000000"/>
          <w:spacing w:val="6"/>
          <w:szCs w:val="21"/>
          <w:highlight w:val="none"/>
        </w:rPr>
        <w:t xml:space="preserve">，属于</w:t>
      </w:r>
      <w:r>
        <w:rPr>
          <w:rFonts w:hint="eastAsia" w:ascii="仿宋" w:hAnsi="仿宋" w:eastAsia="仿宋" w:cs="仿宋"/>
          <w:color w:val="000000"/>
          <w:spacing w:val="6"/>
          <w:szCs w:val="21"/>
          <w:highlight w:val="none"/>
          <w:u w:val="single"/>
        </w:rPr>
        <w:t xml:space="preserve">（采购文件中明确的所属行业）</w:t>
      </w:r>
      <w:r>
        <w:rPr>
          <w:rFonts w:hint="eastAsia" w:ascii="仿宋" w:hAnsi="仿宋" w:eastAsia="仿宋" w:cs="仿宋"/>
          <w:color w:val="000000"/>
          <w:spacing w:val="6"/>
          <w:szCs w:val="21"/>
          <w:highlight w:val="none"/>
        </w:rPr>
        <w:t xml:space="preserve">行业；承建（承接）企业为</w:t>
      </w:r>
      <w:r>
        <w:rPr>
          <w:rFonts w:hint="eastAsia" w:ascii="仿宋" w:hAnsi="仿宋" w:eastAsia="仿宋" w:cs="仿宋"/>
          <w:color w:val="000000"/>
          <w:spacing w:val="6"/>
          <w:szCs w:val="21"/>
          <w:highlight w:val="none"/>
          <w:u w:val="single"/>
        </w:rPr>
        <w:t xml:space="preserve">（企业名称）</w:t>
      </w:r>
      <w:r>
        <w:rPr>
          <w:rFonts w:hint="eastAsia" w:ascii="仿宋" w:hAnsi="仿宋" w:eastAsia="仿宋" w:cs="仿宋"/>
          <w:color w:val="000000"/>
          <w:spacing w:val="6"/>
          <w:szCs w:val="21"/>
          <w:highlight w:val="none"/>
        </w:rPr>
        <w:t xml:space="preserve">，从业人员______人，营业收入为______万元，资产总额为______万元，属于</w:t>
      </w:r>
      <w:r>
        <w:rPr>
          <w:rFonts w:hint="eastAsia" w:ascii="仿宋" w:hAnsi="仿宋" w:eastAsia="仿宋" w:cs="仿宋"/>
          <w:color w:val="000000"/>
          <w:spacing w:val="6"/>
          <w:szCs w:val="21"/>
          <w:highlight w:val="none"/>
          <w:u w:val="single"/>
        </w:rPr>
        <w:t xml:space="preserve">（中型企业、小型企业、微型企业）</w:t>
      </w:r>
      <w:r>
        <w:rPr>
          <w:rFonts w:hint="eastAsia" w:ascii="仿宋" w:hAnsi="仿宋" w:eastAsia="仿宋" w:cs="仿宋"/>
          <w:color w:val="000000"/>
          <w:spacing w:val="6"/>
          <w:szCs w:val="21"/>
          <w:highlight w:val="none"/>
        </w:rPr>
        <w:t xml:space="preserve">；</w:t>
      </w:r>
      <w:r>
        <w:rPr>
          <w:rFonts w:hint="eastAsia" w:ascii="仿宋" w:hAnsi="仿宋" w:eastAsia="仿宋" w:cs="仿宋"/>
          <w:color w:val="000000"/>
          <w:spacing w:val="6"/>
          <w:szCs w:val="21"/>
          <w:highlight w:val="none"/>
        </w:rPr>
      </w:r>
      <w:r/>
    </w:p>
    <w:p>
      <w:pPr>
        <w:pStyle w:val="1032"/>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r>
      <w:r/>
    </w:p>
    <w:p>
      <w:pPr>
        <w:pStyle w:val="1032"/>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w:t>
      </w:r>
      <w:r>
        <w:rPr>
          <w:rFonts w:hint="eastAsia" w:ascii="仿宋" w:hAnsi="仿宋" w:eastAsia="仿宋" w:cs="仿宋"/>
          <w:color w:val="000000"/>
          <w:spacing w:val="6"/>
          <w:szCs w:val="21"/>
          <w:highlight w:val="none"/>
        </w:rPr>
      </w:r>
      <w:r/>
    </w:p>
    <w:p>
      <w:pPr>
        <w:pStyle w:val="1032"/>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pacing w:val="6"/>
          <w:szCs w:val="21"/>
          <w:highlight w:val="none"/>
        </w:rPr>
      </w:r>
      <w:r/>
    </w:p>
    <w:p>
      <w:pPr>
        <w:pStyle w:val="1032"/>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本企业对上述声明内容的真实性负责。如有虚假，将依法承担相应责任。</w:t>
      </w:r>
      <w:r>
        <w:rPr>
          <w:rFonts w:hint="eastAsia" w:ascii="仿宋" w:hAnsi="仿宋" w:eastAsia="仿宋" w:cs="仿宋"/>
          <w:color w:val="000000"/>
          <w:spacing w:val="6"/>
          <w:szCs w:val="21"/>
          <w:highlight w:val="none"/>
        </w:rPr>
      </w:r>
      <w:r/>
    </w:p>
    <w:p>
      <w:pPr>
        <w:pStyle w:val="1032"/>
        <w:ind w:right="360"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2"/>
        <w:ind w:right="360" w:firstLine="480"/>
        <w:jc w:val="righ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企业名称（加盖公章）：________</w:t>
      </w:r>
      <w:r>
        <w:rPr>
          <w:rFonts w:hint="eastAsia" w:ascii="仿宋" w:hAnsi="仿宋" w:eastAsia="仿宋" w:cs="仿宋"/>
          <w:color w:val="000000"/>
          <w:szCs w:val="21"/>
          <w:highlight w:val="none"/>
        </w:rPr>
      </w:r>
      <w:r/>
    </w:p>
    <w:p>
      <w:pPr>
        <w:pStyle w:val="1032"/>
        <w:ind w:right="360" w:firstLine="480"/>
        <w:jc w:val="righ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 期：________</w:t>
      </w:r>
      <w:r>
        <w:rPr>
          <w:rFonts w:hint="eastAsia" w:ascii="仿宋" w:hAnsi="仿宋" w:eastAsia="仿宋" w:cs="仿宋"/>
          <w:color w:val="000000"/>
          <w:szCs w:val="21"/>
          <w:highlight w:val="none"/>
        </w:rPr>
      </w:r>
      <w:r/>
    </w:p>
    <w:p>
      <w:pPr>
        <w:pStyle w:val="1032"/>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2"/>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2"/>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vertAlign w:val="superscript"/>
              </w:rPr>
              <w:t xml:space="preserve">1</w:t>
            </w:r>
            <w:r>
              <w:rPr>
                <w:rFonts w:hint="eastAsia" w:ascii="仿宋" w:hAnsi="仿宋" w:eastAsia="仿宋" w:cs="仿宋"/>
                <w:color w:val="000000"/>
                <w:szCs w:val="21"/>
                <w:highlight w:val="none"/>
              </w:rPr>
              <w:t xml:space="preserve">从业人员、营业收入、资产总额填报上一年度数据，无上一年度数据的新成立企业可不填报。</w:t>
            </w:r>
            <w:r>
              <w:rPr>
                <w:rFonts w:hint="eastAsia" w:ascii="仿宋" w:hAnsi="仿宋" w:eastAsia="仿宋" w:cs="仿宋"/>
                <w:color w:val="000000"/>
                <w:szCs w:val="21"/>
                <w:highlight w:val="none"/>
              </w:rPr>
            </w:r>
            <w:r/>
          </w:p>
        </w:tc>
      </w:tr>
    </w:tbl>
    <w:p>
      <w:pPr>
        <w:pStyle w:val="1216"/>
        <w:ind w:firstLine="482"/>
        <w:jc w:val="left"/>
        <w:spacing w:before="0" w:after="0"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32"/>
        <w:jc w:val="center"/>
        <w:spacing w:line="360" w:lineRule="auto"/>
        <w:rPr>
          <w:rFonts w:hint="eastAsia" w:ascii="仿宋" w:hAnsi="仿宋" w:eastAsia="仿宋" w:cs="仿宋"/>
          <w:b/>
          <w:color w:val="000000"/>
          <w:sz w:val="36"/>
          <w:szCs w:val="36"/>
          <w:highlight w:val="none"/>
        </w:rPr>
      </w:pPr>
      <w:r>
        <w:rPr>
          <w:rFonts w:hint="eastAsia" w:ascii="仿宋" w:hAnsi="仿宋" w:eastAsia="仿宋" w:cs="仿宋"/>
          <w:b/>
          <w:bCs/>
          <w:color w:val="000000"/>
          <w:sz w:val="36"/>
          <w:szCs w:val="36"/>
          <w:highlight w:val="none"/>
        </w:rPr>
        <w:br w:type="page" w:clear="all"/>
      </w:r>
      <w:r>
        <w:rPr>
          <w:rFonts w:hint="eastAsia" w:ascii="仿宋" w:hAnsi="仿宋" w:eastAsia="仿宋" w:cs="仿宋"/>
          <w:b/>
          <w:bCs/>
          <w:color w:val="000000"/>
          <w:sz w:val="36"/>
          <w:szCs w:val="36"/>
          <w:highlight w:val="none"/>
        </w:rPr>
        <w:t xml:space="preserve">残疾人福利性单位声明函格式</w:t>
      </w:r>
      <w:r>
        <w:rPr>
          <w:rFonts w:hint="eastAsia" w:ascii="仿宋" w:hAnsi="仿宋" w:eastAsia="仿宋" w:cs="仿宋"/>
          <w:b/>
          <w:color w:val="000000"/>
          <w:sz w:val="36"/>
          <w:szCs w:val="36"/>
          <w:highlight w:val="none"/>
        </w:rPr>
      </w:r>
      <w:r/>
    </w:p>
    <w:p>
      <w:pPr>
        <w:pStyle w:val="1032"/>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4"/>
          <w:highlight w:val="none"/>
        </w:rPr>
        <w:t xml:space="preserve">〔2017〕 141</w:t>
      </w:r>
      <w:r>
        <w:rPr>
          <w:rFonts w:hint="eastAsia" w:ascii="仿宋" w:hAnsi="仿宋" w:eastAsia="仿宋" w:cs="仿宋"/>
          <w:color w:val="000000"/>
          <w:spacing w:val="6"/>
          <w:sz w:val="24"/>
          <w:highlight w:val="none"/>
        </w:rPr>
        <w:t xml:space="preserve">号）的规定，本单位</w:t>
      </w:r>
      <w:r>
        <w:rPr>
          <w:rFonts w:hint="eastAsia" w:ascii="仿宋" w:hAnsi="仿宋" w:eastAsia="仿宋" w:cs="仿宋"/>
          <w:b/>
          <w:color w:val="000000"/>
          <w:sz w:val="24"/>
          <w:highlight w:val="none"/>
        </w:rPr>
        <w:t xml:space="preserve">（请进行勾选）</w:t>
      </w:r>
      <w:r>
        <w:rPr>
          <w:rFonts w:hint="eastAsia" w:ascii="仿宋" w:hAnsi="仿宋" w:eastAsia="仿宋" w:cs="仿宋"/>
          <w:color w:val="000000"/>
          <w:spacing w:val="6"/>
          <w:sz w:val="24"/>
          <w:highlight w:val="none"/>
        </w:rPr>
        <w:t xml:space="preserve">：</w:t>
      </w:r>
      <w:r>
        <w:rPr>
          <w:rFonts w:hint="eastAsia" w:ascii="仿宋" w:hAnsi="仿宋" w:eastAsia="仿宋" w:cs="仿宋"/>
          <w:color w:val="000000"/>
          <w:spacing w:val="6"/>
          <w:sz w:val="24"/>
          <w:highlight w:val="none"/>
        </w:rPr>
      </w:r>
      <w:r/>
    </w:p>
    <w:p>
      <w:pPr>
        <w:pStyle w:val="1032"/>
        <w:ind w:firstLine="482"/>
        <w:spacing w:line="588" w:lineRule="exact"/>
        <w:rPr>
          <w:rFonts w:hint="eastAsia" w:ascii="仿宋" w:hAnsi="仿宋" w:eastAsia="仿宋" w:cs="仿宋"/>
          <w:b/>
          <w:color w:val="000000"/>
          <w:spacing w:val="6"/>
          <w:sz w:val="24"/>
          <w:highlight w:val="none"/>
        </w:rPr>
      </w:pPr>
      <w:r>
        <w:rPr>
          <w:rFonts w:hint="eastAsia" w:ascii="仿宋" w:hAnsi="仿宋" w:eastAsia="仿宋" w:cs="仿宋"/>
          <w:b/>
          <w:color w:val="000000"/>
          <w:sz w:val="24"/>
          <w:highlight w:val="none"/>
        </w:rPr>
        <w:t xml:space="preserve">□</w:t>
      </w:r>
      <w:r>
        <w:rPr>
          <w:rFonts w:hint="eastAsia" w:ascii="仿宋" w:hAnsi="仿宋" w:eastAsia="仿宋" w:cs="仿宋"/>
          <w:b/>
          <w:color w:val="000000"/>
          <w:spacing w:val="6"/>
          <w:sz w:val="24"/>
          <w:highlight w:val="none"/>
        </w:rPr>
        <w:t xml:space="preserve">不属于符合条件的残疾人福利性单位。</w:t>
      </w:r>
      <w:r>
        <w:rPr>
          <w:rFonts w:hint="eastAsia" w:ascii="仿宋" w:hAnsi="仿宋" w:eastAsia="仿宋" w:cs="仿宋"/>
          <w:b/>
          <w:color w:val="000000"/>
          <w:spacing w:val="6"/>
          <w:sz w:val="24"/>
          <w:highlight w:val="none"/>
        </w:rPr>
      </w:r>
      <w:r/>
    </w:p>
    <w:p>
      <w:pPr>
        <w:pStyle w:val="1032"/>
        <w:ind w:firstLine="482"/>
        <w:spacing w:line="588" w:lineRule="exact"/>
        <w:rPr>
          <w:rFonts w:hint="eastAsia" w:ascii="仿宋" w:hAnsi="仿宋" w:eastAsia="仿宋" w:cs="仿宋"/>
          <w:color w:val="000000"/>
          <w:spacing w:val="6"/>
          <w:sz w:val="24"/>
          <w:highlight w:val="none"/>
        </w:rPr>
      </w:pPr>
      <w:r>
        <w:rPr>
          <w:rFonts w:hint="eastAsia" w:ascii="仿宋" w:hAnsi="仿宋" w:eastAsia="仿宋" w:cs="仿宋"/>
          <w:b/>
          <w:color w:val="000000"/>
          <w:sz w:val="24"/>
          <w:highlight w:val="none"/>
        </w:rPr>
        <w:t xml:space="preserve">□</w:t>
      </w:r>
      <w:r>
        <w:rPr>
          <w:rFonts w:hint="eastAsia" w:ascii="仿宋" w:hAnsi="仿宋" w:eastAsia="仿宋" w:cs="仿宋"/>
          <w:b/>
          <w:color w:val="000000"/>
          <w:spacing w:val="6"/>
          <w:sz w:val="24"/>
          <w:highlight w:val="none"/>
        </w:rPr>
        <w:t xml:space="preserve">属于符合条件的残疾人福利性单位，</w:t>
      </w:r>
      <w:r>
        <w:rPr>
          <w:rFonts w:hint="eastAsia" w:ascii="仿宋" w:hAnsi="仿宋" w:eastAsia="仿宋" w:cs="仿宋"/>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4"/>
          <w:highlight w:val="none"/>
        </w:rPr>
      </w:r>
      <w:r/>
    </w:p>
    <w:p>
      <w:pPr>
        <w:pStyle w:val="1032"/>
        <w:ind w:firstLine="506"/>
        <w:spacing w:line="588" w:lineRule="exact"/>
        <w:rPr>
          <w:rFonts w:hint="eastAsia" w:ascii="仿宋" w:hAnsi="仿宋" w:eastAsia="仿宋" w:cs="仿宋"/>
          <w:color w:val="000000"/>
          <w:spacing w:val="6"/>
          <w:sz w:val="24"/>
          <w:highlight w:val="none"/>
        </w:rPr>
      </w:pPr>
      <w:r>
        <w:rPr>
          <w:rFonts w:hint="eastAsia" w:ascii="仿宋" w:hAnsi="仿宋" w:eastAsia="仿宋" w:cs="仿宋"/>
          <w:b/>
          <w:color w:val="000000"/>
          <w:spacing w:val="6"/>
          <w:sz w:val="24"/>
          <w:highlight w:val="none"/>
        </w:rPr>
        <w:t xml:space="preserve">本单位对上述声明的真实性负责。如有虚假，将依法承担相应责任。</w:t>
      </w:r>
      <w:r>
        <w:rPr>
          <w:rFonts w:hint="eastAsia" w:ascii="仿宋" w:hAnsi="仿宋" w:eastAsia="仿宋" w:cs="仿宋"/>
          <w:color w:val="000000"/>
          <w:spacing w:val="6"/>
          <w:sz w:val="24"/>
          <w:highlight w:val="none"/>
        </w:rPr>
      </w:r>
      <w:r/>
    </w:p>
    <w:p>
      <w:pPr>
        <w:pStyle w:val="1032"/>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2"/>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2"/>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单位名称（加盖公章）：</w:t>
      </w:r>
      <w:r>
        <w:rPr>
          <w:rFonts w:hint="eastAsia" w:ascii="仿宋" w:hAnsi="仿宋" w:eastAsia="仿宋" w:cs="仿宋"/>
          <w:color w:val="000000"/>
          <w:spacing w:val="6"/>
          <w:sz w:val="24"/>
          <w:highlight w:val="none"/>
        </w:rPr>
      </w:r>
      <w:r/>
    </w:p>
    <w:p>
      <w:pPr>
        <w:pStyle w:val="1032"/>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日  期：</w:t>
      </w:r>
      <w:r>
        <w:rPr>
          <w:rFonts w:hint="eastAsia" w:ascii="仿宋" w:hAnsi="仿宋" w:eastAsia="仿宋" w:cs="仿宋"/>
          <w:color w:val="000000"/>
          <w:spacing w:val="6"/>
          <w:sz w:val="24"/>
          <w:highlight w:val="none"/>
        </w:rPr>
      </w:r>
      <w:r/>
    </w:p>
    <w:p>
      <w:pPr>
        <w:pStyle w:val="1032"/>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2"/>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2"/>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2"/>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2"/>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highlight w:val="none"/>
        </w:rPr>
        <w:t xml:space="preserve">2-3其它落实政府采购政策的资格要求</w:t>
      </w:r>
      <w:r>
        <w:rPr>
          <w:rFonts w:hint="eastAsia" w:ascii="仿宋" w:hAnsi="仿宋" w:eastAsia="仿宋" w:cs="仿宋"/>
          <w:color w:val="000000"/>
          <w:sz w:val="24"/>
          <w:szCs w:val="20"/>
          <w:highlight w:val="none"/>
        </w:rPr>
        <w:t xml:space="preserve">（如有）</w:t>
      </w:r>
      <w:r>
        <w:rPr>
          <w:rFonts w:hint="eastAsia" w:ascii="仿宋" w:hAnsi="仿宋" w:eastAsia="仿宋" w:cs="仿宋"/>
          <w:color w:val="000000"/>
          <w:sz w:val="24"/>
          <w:szCs w:val="20"/>
          <w:highlight w:val="none"/>
        </w:rPr>
      </w:r>
      <w:r/>
    </w:p>
    <w:p>
      <w:pPr>
        <w:pStyle w:val="103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jc w:val="center"/>
        <w:spacing w:after="120"/>
        <w:shd w:val="clear" w:color="auto" w:fill="ffff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关于符合本国产品标准的声明函</w:t>
      </w:r>
      <w:r>
        <w:rPr>
          <w:rFonts w:hint="eastAsia" w:ascii="仿宋" w:hAnsi="仿宋" w:eastAsia="仿宋" w:cs="仿宋"/>
          <w:b/>
          <w:color w:val="000000"/>
          <w:sz w:val="32"/>
          <w:szCs w:val="32"/>
          <w:highlight w:val="none"/>
        </w:rPr>
      </w:r>
      <w:r/>
    </w:p>
    <w:p>
      <w:pPr>
        <w:pStyle w:val="1032"/>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1"/>
          <w:szCs w:val="21"/>
          <w:highlight w:val="none"/>
          <w:lang w:val="en-US" w:eastAsia="zh-CN" w:bidi="ar-SA"/>
        </w:rPr>
      </w:r>
      <w:r/>
    </w:p>
    <w:p>
      <w:pPr>
        <w:pStyle w:val="1032"/>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-118744</wp:posOffset>
                </wp:positionH>
                <wp:positionV relativeFrom="paragraph">
                  <wp:posOffset>795020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9.3pt;mso-position-horizontal:absolute;mso-position-vertical-relative:text;margin-top:62.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549275</wp:posOffset>
                </wp:positionH>
                <wp:positionV relativeFrom="paragraph">
                  <wp:posOffset>790575</wp:posOffset>
                </wp:positionV>
                <wp:extent cx="805180" cy="13652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43.2pt;mso-position-horizontal:absolute;mso-position-vertical-relative:text;margin-top:62.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3582670</wp:posOffset>
                </wp:positionH>
                <wp:positionV relativeFrom="paragraph">
                  <wp:posOffset>429895</wp:posOffset>
                </wp:positionV>
                <wp:extent cx="603250" cy="1504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282.1pt;mso-position-horizontal:absolute;mso-position-vertical-relative:text;margin-top:33.9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2480945</wp:posOffset>
                </wp:positionH>
                <wp:positionV relativeFrom="paragraph">
                  <wp:posOffset>457200</wp:posOffset>
                </wp:positionV>
                <wp:extent cx="812165"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195.3pt;mso-position-horizontal:absolute;mso-position-vertical-relative:text;margin-top:36.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1433195</wp:posOffset>
                </wp:positionH>
                <wp:positionV relativeFrom="paragraph">
                  <wp:posOffset>495300</wp:posOffset>
                </wp:positionV>
                <wp:extent cx="81661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112.8pt;mso-position-horizontal:absolute;mso-position-vertical-relative:text;margin-top:39.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4311650</wp:posOffset>
                </wp:positionH>
                <wp:positionV relativeFrom="paragraph">
                  <wp:posOffset>130175</wp:posOffset>
                </wp:positionV>
                <wp:extent cx="577215" cy="9207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339.5pt;mso-position-horizontal:absolute;mso-position-vertical-relative:text;margin-top:10.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shd w:val="clear" w:color="auto" w:fill="ffffff"/>
          <w:lang w:val="en-US" w:eastAsia="zh-CN" w:bidi="ar-SA"/>
        </w:rPr>
        <w:t xml:space="preserve">1.</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1</w:t>
      </w:r>
      <w:r>
        <w:rPr>
          <w:rFonts w:hint="eastAsia" w:ascii="仿宋" w:hAnsi="仿宋" w:eastAsia="仿宋" w:cs="仿宋"/>
          <w:color w:val="000000"/>
          <w:sz w:val="21"/>
          <w:szCs w:val="21"/>
          <w:highlight w:val="none"/>
          <w:shd w:val="clear" w:color="auto" w:fill="ffffff"/>
          <w:lang w:val="en-US" w:eastAsia="zh-CN" w:bidi="ar-SA"/>
        </w:rPr>
        <w:t xml:space="preserve">，生产厂为</w:t>
      </w:r>
      <w:r>
        <w:rPr>
          <w:rFonts w:hint="eastAsia" w:ascii="仿宋" w:hAnsi="仿宋" w:eastAsia="仿宋" w:cs="仿宋"/>
          <w:i w:val="0"/>
          <w:color w:val="000000"/>
          <w:sz w:val="21"/>
          <w:szCs w:val="21"/>
          <w:highlight w:val="none"/>
          <w:u w:val="single"/>
          <w:shd w:val="clear" w:color="auto" w:fill="ffffff"/>
          <w:lang w:val="en-US" w:eastAsia="zh-CN" w:bidi="ar-SA"/>
        </w:rPr>
        <w:t xml:space="preserve">（厂名）</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2</w:t>
      </w:r>
      <w:r>
        <w:rPr>
          <w:rFonts w:hint="eastAsia" w:ascii="仿宋" w:hAnsi="仿宋" w:eastAsia="仿宋" w:cs="仿宋"/>
          <w:color w:val="000000"/>
          <w:sz w:val="21"/>
          <w:szCs w:val="21"/>
          <w:highlight w:val="none"/>
          <w:shd w:val="clear" w:color="auto" w:fill="ffffff"/>
          <w:lang w:val="en-US" w:eastAsia="zh-CN" w:bidi="ar-SA"/>
        </w:rPr>
        <w:t xml:space="preserve">，厂址为</w:t>
      </w:r>
      <w:r>
        <w:rPr>
          <w:rFonts w:hint="eastAsia" w:ascii="仿宋" w:hAnsi="仿宋" w:eastAsia="仿宋" w:cs="仿宋"/>
          <w:i w:val="0"/>
          <w:color w:val="000000"/>
          <w:sz w:val="21"/>
          <w:szCs w:val="21"/>
          <w:highlight w:val="none"/>
          <w:u w:val="single"/>
          <w:shd w:val="clear" w:color="auto" w:fill="ffffff"/>
          <w:lang w:val="en-US" w:eastAsia="zh-CN" w:bidi="ar-SA"/>
        </w:rPr>
        <w:t xml:space="preserve">（生产厂址）</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color w:val="000000"/>
          <w:sz w:val="21"/>
          <w:szCs w:val="21"/>
          <w:highlight w:val="none"/>
          <w:u w:val="single"/>
          <w:shd w:val="clear" w:color="auto" w:fill="ffffff"/>
          <w:lang w:val="en-US" w:eastAsia="zh-CN" w:bidi="ar-SA"/>
        </w:rPr>
        <w:t xml:space="preserve"> </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 </w:t>
      </w:r>
      <w:r>
        <w:rPr>
          <w:rFonts w:hint="eastAsia" w:ascii="仿宋" w:hAnsi="仿宋" w:eastAsia="仿宋" w:cs="仿宋"/>
          <w:color w:val="000000"/>
          <w:sz w:val="21"/>
          <w:szCs w:val="21"/>
          <w:highlight w:val="none"/>
          <w:shd w:val="clear" w:color="auto" w:fill="ffffff"/>
          <w:lang w:val="en-US" w:eastAsia="zh-CN" w:bidi="ar-SA"/>
        </w:rPr>
        <w:t xml:space="preserve">的中国境内生产的组件成本占比≥</w:t>
      </w:r>
      <w:r>
        <w:rPr>
          <w:rFonts w:hint="eastAsia" w:ascii="仿宋" w:hAnsi="仿宋" w:eastAsia="仿宋" w:cs="仿宋"/>
          <w:i w:val="0"/>
          <w:color w:val="000000"/>
          <w:sz w:val="21"/>
          <w:szCs w:val="21"/>
          <w:highlight w:val="none"/>
          <w:u w:val="single"/>
          <w:shd w:val="clear" w:color="auto" w:fill="ffffff"/>
          <w:lang w:val="en-US" w:eastAsia="zh-CN" w:bidi="ar-SA"/>
        </w:rPr>
        <w:t xml:space="preserve">（规定比例）</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3</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（关键组件）</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4</w:t>
      </w:r>
      <w:r>
        <w:rPr>
          <w:rFonts w:hint="eastAsia" w:ascii="仿宋" w:hAnsi="仿宋" w:eastAsia="仿宋" w:cs="仿宋"/>
          <w:color w:val="000000"/>
          <w:sz w:val="21"/>
          <w:szCs w:val="21"/>
          <w:highlight w:val="none"/>
          <w:shd w:val="clear" w:color="auto" w:fill="ffffff"/>
          <w:lang w:val="en-US" w:eastAsia="zh-CN" w:bidi="ar-SA"/>
        </w:rPr>
        <w:t xml:space="preserve">在中国境内生产。</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（关键工序）</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5</w:t>
      </w:r>
      <w:r>
        <w:rPr>
          <w:rFonts w:hint="eastAsia" w:ascii="仿宋" w:hAnsi="仿宋" w:eastAsia="仿宋" w:cs="仿宋"/>
          <w:color w:val="000000"/>
          <w:sz w:val="21"/>
          <w:szCs w:val="21"/>
          <w:highlight w:val="none"/>
          <w:shd w:val="clear" w:color="auto" w:fill="ffffff"/>
          <w:lang w:val="en-US" w:eastAsia="zh-CN" w:bidi="ar-SA"/>
        </w:rPr>
        <w:t xml:space="preserve">在中国境内完成。</w:t>
      </w:r>
      <w:r>
        <w:rPr>
          <w:rFonts w:hint="eastAsia" w:ascii="仿宋" w:hAnsi="仿宋" w:eastAsia="仿宋" w:cs="仿宋"/>
          <w:color w:val="000000"/>
          <w:sz w:val="21"/>
          <w:szCs w:val="21"/>
          <w:highlight w:val="none"/>
          <w:lang w:val="en-US" w:eastAsia="zh-CN" w:bidi="ar-SA"/>
        </w:rPr>
      </w:r>
      <w:r/>
    </w:p>
    <w:p>
      <w:pPr>
        <w:pStyle w:val="1032"/>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224155</wp:posOffset>
                </wp:positionH>
                <wp:positionV relativeFrom="paragraph">
                  <wp:posOffset>713740</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17.6pt;mso-position-horizontal:absolute;mso-position-vertical-relative:text;margin-top:56.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3270885</wp:posOffset>
                </wp:positionH>
                <wp:positionV relativeFrom="paragraph">
                  <wp:posOffset>412750</wp:posOffset>
                </wp:positionV>
                <wp:extent cx="666750" cy="1905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257.6pt;mso-position-horizontal:absolute;mso-position-vertical-relative:text;margin-top:32.5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2148840</wp:posOffset>
                </wp:positionH>
                <wp:positionV relativeFrom="paragraph">
                  <wp:posOffset>443230</wp:posOffset>
                </wp:positionV>
                <wp:extent cx="842645" cy="1524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69.2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1162685</wp:posOffset>
                </wp:positionH>
                <wp:positionV relativeFrom="paragraph">
                  <wp:posOffset>426085</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91.5pt;mso-position-horizontal:absolute;mso-position-vertical-relative:text;margin-top:33.5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4030345</wp:posOffset>
                </wp:positionH>
                <wp:positionV relativeFrom="paragraph">
                  <wp:posOffset>132080</wp:posOffset>
                </wp:positionV>
                <wp:extent cx="807720" cy="19050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317.3pt;mso-position-horizontal:absolute;mso-position-vertical-relative:text;margin-top:10.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5012055</wp:posOffset>
                </wp:positionH>
                <wp:positionV relativeFrom="paragraph">
                  <wp:posOffset>419100</wp:posOffset>
                </wp:positionV>
                <wp:extent cx="814705" cy="16446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6;o:allowoverlap:true;o:allowincell:true;mso-position-horizontal-relative:text;margin-left:394.6pt;mso-position-horizontal:absolute;mso-position-vertical-relative:text;margin-top:33.0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shd w:val="clear" w:color="auto" w:fill="ffffff"/>
          <w:lang w:val="en-US" w:eastAsia="zh-CN" w:bidi="ar-SA"/>
        </w:rPr>
        <w:t xml:space="preserve">2.</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（产品名称2）</w:t>
      </w:r>
      <w:r>
        <w:rPr>
          <w:rFonts w:hint="eastAsia" w:ascii="仿宋" w:hAnsi="仿宋" w:eastAsia="仿宋" w:cs="仿宋"/>
          <w:color w:val="000000"/>
          <w:sz w:val="21"/>
          <w:szCs w:val="21"/>
          <w:highlight w:val="none"/>
          <w:shd w:val="clear" w:color="auto" w:fill="ffffff"/>
          <w:lang w:val="en-US" w:eastAsia="zh-CN" w:bidi="ar-SA"/>
        </w:rPr>
        <w:t xml:space="preserve">，生产厂为</w:t>
      </w:r>
      <w:r>
        <w:rPr>
          <w:rFonts w:hint="eastAsia" w:ascii="仿宋" w:hAnsi="仿宋" w:eastAsia="仿宋" w:cs="仿宋"/>
          <w:i w:val="0"/>
          <w:color w:val="000000"/>
          <w:sz w:val="21"/>
          <w:szCs w:val="21"/>
          <w:highlight w:val="none"/>
          <w:u w:val="single"/>
          <w:shd w:val="clear" w:color="auto" w:fill="ffffff"/>
          <w:lang w:val="en-US" w:eastAsia="zh-CN" w:bidi="ar-SA"/>
        </w:rPr>
        <w:t xml:space="preserve">（厂名）</w:t>
      </w:r>
      <w:r>
        <w:rPr>
          <w:rFonts w:hint="eastAsia" w:ascii="仿宋" w:hAnsi="仿宋" w:eastAsia="仿宋" w:cs="仿宋"/>
          <w:color w:val="000000"/>
          <w:sz w:val="21"/>
          <w:szCs w:val="21"/>
          <w:highlight w:val="none"/>
          <w:shd w:val="clear" w:color="auto" w:fill="ffffff"/>
          <w:lang w:val="en-US" w:eastAsia="zh-CN" w:bidi="ar-SA"/>
        </w:rPr>
        <w:t xml:space="preserve">，厂址为</w:t>
      </w:r>
      <w:r>
        <w:rPr>
          <w:rFonts w:hint="eastAsia" w:ascii="仿宋" w:hAnsi="仿宋" w:eastAsia="仿宋" w:cs="仿宋"/>
          <w:i w:val="0"/>
          <w:color w:val="000000"/>
          <w:sz w:val="21"/>
          <w:szCs w:val="21"/>
          <w:highlight w:val="none"/>
          <w:u w:val="single"/>
          <w:shd w:val="clear" w:color="auto" w:fill="ffffff"/>
          <w:lang w:val="en-US" w:eastAsia="zh-CN" w:bidi="ar-SA"/>
        </w:rPr>
        <w:t xml:space="preserve">（生产厂址）</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（产品名称2）</w:t>
      </w:r>
      <w:r>
        <w:rPr>
          <w:rFonts w:hint="eastAsia" w:ascii="仿宋" w:hAnsi="仿宋" w:eastAsia="仿宋" w:cs="仿宋"/>
          <w:color w:val="000000"/>
          <w:sz w:val="21"/>
          <w:szCs w:val="21"/>
          <w:highlight w:val="none"/>
          <w:shd w:val="clear" w:color="auto" w:fill="ffffff"/>
          <w:lang w:val="en-US" w:eastAsia="zh-CN" w:bidi="ar-SA"/>
        </w:rPr>
        <w:t xml:space="preserve">的中国境内生产的组件成本占比≥</w:t>
      </w:r>
      <w:r>
        <w:rPr>
          <w:rFonts w:hint="eastAsia" w:ascii="仿宋" w:hAnsi="仿宋" w:eastAsia="仿宋" w:cs="仿宋"/>
          <w:i w:val="0"/>
          <w:color w:val="000000"/>
          <w:sz w:val="21"/>
          <w:szCs w:val="21"/>
          <w:highlight w:val="none"/>
          <w:u w:val="single"/>
          <w:shd w:val="clear" w:color="auto" w:fill="ffffff"/>
          <w:lang w:val="en-US" w:eastAsia="zh-CN" w:bidi="ar-SA"/>
        </w:rPr>
        <w:t xml:space="preserve">（规定比例）</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（产品名称2）</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（关键组件）</w:t>
      </w:r>
      <w:r>
        <w:rPr>
          <w:rFonts w:hint="eastAsia" w:ascii="仿宋" w:hAnsi="仿宋" w:eastAsia="仿宋" w:cs="仿宋"/>
          <w:color w:val="000000"/>
          <w:sz w:val="21"/>
          <w:szCs w:val="21"/>
          <w:highlight w:val="none"/>
          <w:shd w:val="clear" w:color="auto" w:fill="ffffff"/>
          <w:lang w:val="en-US" w:eastAsia="zh-CN" w:bidi="ar-SA"/>
        </w:rPr>
        <w:t xml:space="preserve">在中国境内生产。</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（关键工序）</w:t>
      </w:r>
      <w:r>
        <w:rPr>
          <w:rFonts w:hint="eastAsia" w:ascii="仿宋" w:hAnsi="仿宋" w:eastAsia="仿宋" w:cs="仿宋"/>
          <w:color w:val="000000"/>
          <w:sz w:val="21"/>
          <w:szCs w:val="21"/>
          <w:highlight w:val="none"/>
          <w:shd w:val="clear" w:color="auto" w:fill="ffffff"/>
          <w:lang w:val="en-US" w:eastAsia="zh-CN" w:bidi="ar-SA"/>
        </w:rPr>
        <w:t xml:space="preserve">在中国境内完成。</w:t>
      </w:r>
      <w:r>
        <w:rPr>
          <w:rFonts w:hint="eastAsia" w:ascii="仿宋" w:hAnsi="仿宋" w:eastAsia="仿宋" w:cs="仿宋"/>
          <w:color w:val="000000"/>
          <w:sz w:val="21"/>
          <w:szCs w:val="21"/>
          <w:highlight w:val="none"/>
          <w:lang w:val="en-US" w:eastAsia="zh-CN" w:bidi="ar-SA"/>
        </w:rPr>
      </w:r>
      <w:r/>
    </w:p>
    <w:p>
      <w:pPr>
        <w:pStyle w:val="1032"/>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color w:val="000000"/>
          <w:sz w:val="21"/>
          <w:szCs w:val="21"/>
          <w:highlight w:val="none"/>
          <w:lang w:val="en-US" w:eastAsia="zh-CN" w:bidi="ar-SA"/>
        </w:rPr>
      </w:r>
      <w:r/>
    </w:p>
    <w:p>
      <w:pPr>
        <w:pStyle w:val="1032"/>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本公司（单位）对上述声明内容的真实性负责。如有虚假，愿承担相应法律责任。</w:t>
      </w:r>
      <w:r>
        <w:rPr>
          <w:rFonts w:hint="eastAsia" w:ascii="仿宋" w:hAnsi="仿宋" w:eastAsia="仿宋" w:cs="仿宋"/>
          <w:color w:val="000000"/>
          <w:sz w:val="21"/>
          <w:szCs w:val="21"/>
          <w:highlight w:val="none"/>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032"/>
        <w:ind w:right="0" w:firstLine="3465"/>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公司（单位）名称（盖章）：　        </w:t>
      </w:r>
      <w:r>
        <w:rPr>
          <w:rFonts w:hint="eastAsia" w:ascii="仿宋" w:hAnsi="仿宋" w:eastAsia="仿宋" w:cs="仿宋"/>
          <w:color w:val="000000"/>
          <w:sz w:val="21"/>
          <w:szCs w:val="21"/>
          <w:highlight w:val="none"/>
          <w:lang w:val="en-US" w:eastAsia="zh-CN" w:bidi="ar-SA"/>
        </w:rPr>
      </w:r>
      <w:r/>
    </w:p>
    <w:p>
      <w:pPr>
        <w:pStyle w:val="1032"/>
        <w:ind w:right="0"/>
        <w:jc w:val="center"/>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                                日期：　   年　  月　  日         </w:t>
      </w:r>
      <w:r>
        <w:rPr>
          <w:rFonts w:hint="eastAsia" w:ascii="仿宋" w:hAnsi="仿宋" w:eastAsia="仿宋" w:cs="仿宋"/>
          <w:color w:val="000000"/>
          <w:sz w:val="21"/>
          <w:szCs w:val="21"/>
          <w:highlight w:val="none"/>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__________________</w:t>
      </w:r>
      <w:r>
        <w:rPr>
          <w:rFonts w:hint="eastAsia" w:ascii="仿宋" w:hAnsi="仿宋" w:eastAsia="仿宋" w:cs="仿宋"/>
          <w:color w:val="000000"/>
          <w:sz w:val="21"/>
          <w:szCs w:val="21"/>
          <w:highlight w:val="none"/>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1.产品如有型号，请在“产品名称”栏一并填写。</w:t>
      </w:r>
      <w:r>
        <w:rPr>
          <w:rFonts w:hint="eastAsia" w:ascii="仿宋" w:hAnsi="仿宋" w:eastAsia="仿宋" w:cs="仿宋"/>
          <w:color w:val="000000"/>
          <w:sz w:val="21"/>
          <w:szCs w:val="21"/>
          <w:highlight w:val="none"/>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2.生产厂名与厂址应与生产厂营业执照载明的相关信息保持一致。</w:t>
      </w:r>
      <w:r>
        <w:rPr>
          <w:rFonts w:hint="eastAsia" w:ascii="仿宋" w:hAnsi="仿宋" w:eastAsia="仿宋" w:cs="仿宋"/>
          <w:color w:val="000000"/>
          <w:sz w:val="21"/>
          <w:szCs w:val="21"/>
          <w:highlight w:val="none"/>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3.该产品的中国境内生产的组件成本占比相关要求实施前，“规定比例”栏可不填，下同。</w:t>
      </w:r>
      <w:r>
        <w:rPr>
          <w:rFonts w:hint="eastAsia" w:ascii="仿宋" w:hAnsi="仿宋" w:eastAsia="仿宋" w:cs="仿宋"/>
          <w:color w:val="000000"/>
          <w:sz w:val="21"/>
          <w:szCs w:val="21"/>
          <w:highlight w:val="none"/>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4.该产品的关键组件要求实施前，“关键组件”栏可不填，下同。</w:t>
      </w:r>
      <w:r>
        <w:rPr>
          <w:rFonts w:hint="eastAsia" w:ascii="仿宋" w:hAnsi="仿宋" w:eastAsia="仿宋" w:cs="仿宋"/>
          <w:color w:val="000000"/>
          <w:sz w:val="21"/>
          <w:szCs w:val="21"/>
          <w:highlight w:val="none"/>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shd w:val="clear" w:color="auto" w:fill="ffffff"/>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5.该产品的关键工序要求实施前，“关键工序”栏可不填，下同。</w:t>
      </w:r>
      <w:r>
        <w:rPr>
          <w:rFonts w:hint="eastAsia" w:ascii="仿宋" w:hAnsi="仿宋" w:eastAsia="仿宋" w:cs="仿宋"/>
          <w:color w:val="000000"/>
          <w:sz w:val="21"/>
          <w:szCs w:val="21"/>
          <w:highlight w:val="none"/>
          <w:shd w:val="clear" w:color="auto" w:fill="ffffff"/>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shd w:val="clear" w:color="auto" w:fill="ffffff"/>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6.用斜线划除的地方无需填写。</w:t>
      </w:r>
      <w:r>
        <w:rPr>
          <w:rFonts w:hint="eastAsia" w:ascii="仿宋" w:hAnsi="仿宋" w:eastAsia="仿宋" w:cs="仿宋"/>
          <w:color w:val="000000"/>
          <w:sz w:val="21"/>
          <w:szCs w:val="21"/>
          <w:highlight w:val="none"/>
          <w:shd w:val="clear" w:color="auto" w:fill="ffffff"/>
          <w:lang w:val="en-US" w:eastAsia="zh-CN" w:bidi="ar-SA"/>
        </w:rPr>
      </w:r>
      <w:r/>
    </w:p>
    <w:p>
      <w:pPr>
        <w:pStyle w:val="1032"/>
        <w:jc w:val="left"/>
        <w:spacing w:line="360" w:lineRule="auto"/>
        <w:widowControl/>
        <w:rPr>
          <w:rFonts w:hint="eastAsia" w:ascii="仿宋" w:hAnsi="仿宋" w:eastAsia="仿宋" w:cs="仿宋"/>
          <w:color w:val="000000"/>
          <w:sz w:val="24"/>
          <w:szCs w:val="20"/>
          <w:highlight w:val="none"/>
        </w:rPr>
      </w:pPr>
      <w:r>
        <w:rPr>
          <w:rFonts w:hint="eastAsia" w:ascii="仿宋" w:hAnsi="仿宋" w:eastAsia="仿宋" w:cs="仿宋"/>
          <w:color w:val="000000"/>
          <w:sz w:val="24"/>
          <w:highlight w:val="none"/>
        </w:rPr>
        <w:br w:type="page" w:clear="all"/>
      </w:r>
      <w:r>
        <w:rPr>
          <w:rFonts w:hint="eastAsia" w:ascii="仿宋" w:hAnsi="仿宋" w:eastAsia="仿宋" w:cs="仿宋"/>
          <w:b/>
          <w:bCs/>
          <w:color w:val="000000"/>
          <w:sz w:val="24"/>
          <w:szCs w:val="20"/>
          <w:highlight w:val="none"/>
        </w:rPr>
        <w:t xml:space="preserve">3 </w:t>
      </w:r>
      <w:r>
        <w:rPr>
          <w:rFonts w:hint="eastAsia" w:ascii="仿宋" w:hAnsi="仿宋" w:eastAsia="仿宋" w:cs="仿宋"/>
          <w:b/>
          <w:bCs/>
          <w:color w:val="000000"/>
          <w:sz w:val="24"/>
          <w:highlight w:val="none"/>
        </w:rPr>
        <w:t xml:space="preserve">本项目的特定资格要求</w:t>
      </w: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3-2其他特定资格要求</w:t>
      </w:r>
      <w:r>
        <w:rPr>
          <w:rFonts w:hint="eastAsia" w:ascii="仿宋" w:hAnsi="仿宋" w:eastAsia="仿宋" w:cs="仿宋"/>
          <w:color w:val="000000"/>
          <w:sz w:val="24"/>
          <w:szCs w:val="20"/>
          <w:highlight w:val="none"/>
        </w:rPr>
      </w:r>
      <w:r/>
    </w:p>
    <w:p>
      <w:pPr>
        <w:pStyle w:val="1032"/>
        <w:ind w:left="690" w:hanging="211"/>
        <w:spacing w:line="360" w:lineRule="auto"/>
        <w:rPr>
          <w:rFonts w:hint="eastAsia" w:ascii="仿宋" w:hAnsi="仿宋" w:eastAsia="仿宋" w:cs="仿宋"/>
          <w:color w:val="000000"/>
          <w:sz w:val="24"/>
          <w:szCs w:val="20"/>
          <w:highlight w:val="none"/>
        </w:rPr>
      </w:pPr>
      <w:r>
        <w:rPr>
          <w:rFonts w:hint="eastAsia" w:ascii="仿宋" w:hAnsi="仿宋" w:eastAsia="仿宋" w:cs="仿宋"/>
          <w:b/>
          <w:bCs/>
          <w:color w:val="000000"/>
          <w:szCs w:val="21"/>
          <w:highlight w:val="none"/>
        </w:rPr>
        <w:t xml:space="preserve">详见采购公告要求</w:t>
      </w: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二、商务技术文件格式</w:t>
      </w:r>
      <w:bookmarkStart w:id="832" w:name="_Toc226309800"/>
      <w:r/>
      <w:bookmarkStart w:id="833" w:name="_Toc150480794"/>
      <w:r/>
      <w:bookmarkStart w:id="834" w:name="_Toc150774761"/>
      <w:r/>
      <w:bookmarkStart w:id="835" w:name="_Toc226965829"/>
      <w:r/>
      <w:bookmarkStart w:id="836" w:name="_Toc195842921"/>
      <w:r/>
      <w:bookmarkStart w:id="837" w:name="_Ref467988698"/>
      <w:r/>
      <w:bookmarkStart w:id="838" w:name="_Toc226337252"/>
      <w:r/>
      <w:bookmarkStart w:id="839" w:name="_Toc127151556"/>
      <w:r/>
      <w:bookmarkStart w:id="840" w:name="_Toc226965746"/>
      <w:r/>
      <w:bookmarkStart w:id="841" w:name="_Toc480942349"/>
      <w:r/>
      <w:bookmarkStart w:id="842" w:name="_Toc520356217"/>
      <w:r/>
      <w:bookmarkStart w:id="843" w:name="_Toc142311058"/>
      <w:r>
        <w:rPr>
          <w:rFonts w:hint="eastAsia" w:ascii="仿宋" w:hAnsi="仿宋" w:eastAsia="仿宋" w:cs="仿宋"/>
          <w:b/>
          <w:color w:val="000000"/>
          <w:sz w:val="32"/>
          <w:szCs w:val="32"/>
          <w:highlight w:val="none"/>
        </w:rPr>
      </w:r>
      <w:r/>
    </w:p>
    <w:p>
      <w:pPr>
        <w:pStyle w:val="1032"/>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32"/>
        <w:spacing w:line="360" w:lineRule="auto"/>
        <w:rPr>
          <w:rFonts w:hint="eastAsia" w:ascii="仿宋" w:hAnsi="仿宋" w:eastAsia="仿宋" w:cs="仿宋"/>
          <w:b/>
          <w:bCs/>
          <w:color w:val="000000"/>
          <w:sz w:val="24"/>
          <w:szCs w:val="20"/>
          <w:highlight w:val="none"/>
        </w:rPr>
        <w:outlineLvl w:val="2"/>
      </w:pPr>
      <w:r>
        <w:rPr>
          <w:rFonts w:hint="eastAsia" w:ascii="仿宋" w:hAnsi="仿宋" w:eastAsia="仿宋" w:cs="仿宋"/>
          <w:color w:val="000000"/>
          <w:sz w:val="24"/>
          <w:highlight w:val="none"/>
        </w:rPr>
        <w:t xml:space="preserve">1</w:t>
      </w:r>
      <w:r>
        <w:rPr>
          <w:rFonts w:hint="eastAsia" w:ascii="仿宋" w:hAnsi="仿宋" w:eastAsia="仿宋" w:cs="仿宋"/>
          <w:b/>
          <w:bCs/>
          <w:color w:val="000000"/>
          <w:sz w:val="24"/>
          <w:highlight w:val="none"/>
        </w:rPr>
        <w:t xml:space="preserve">投标</w:t>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rPr>
          <w:rFonts w:hint="eastAsia" w:ascii="仿宋" w:hAnsi="仿宋" w:eastAsia="仿宋" w:cs="仿宋"/>
          <w:b/>
          <w:bCs/>
          <w:color w:val="000000"/>
          <w:sz w:val="24"/>
          <w:highlight w:val="none"/>
        </w:rPr>
        <w:t xml:space="preserve">函</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b/>
          <w:bCs/>
          <w:color w:val="000000"/>
          <w:sz w:val="24"/>
          <w:szCs w:val="20"/>
          <w:highlight w:val="none"/>
        </w:rPr>
      </w:r>
      <w:r/>
    </w:p>
    <w:p>
      <w:pPr>
        <w:pStyle w:val="1032"/>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jc w:val="center"/>
        <w:spacing w:line="360" w:lineRule="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投标函</w:t>
      </w:r>
      <w:r>
        <w:rPr>
          <w:rFonts w:hint="eastAsia" w:ascii="仿宋" w:hAnsi="仿宋" w:eastAsia="仿宋" w:cs="仿宋"/>
          <w:b/>
          <w:color w:val="000000"/>
          <w:sz w:val="36"/>
          <w:szCs w:val="36"/>
          <w:highlight w:val="none"/>
        </w:rPr>
      </w:r>
      <w:r/>
    </w:p>
    <w:p>
      <w:pPr>
        <w:pStyle w:val="1032"/>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致：</w:t>
      </w:r>
      <w:r>
        <w:rPr>
          <w:rFonts w:hint="eastAsia" w:ascii="仿宋" w:hAnsi="仿宋" w:eastAsia="仿宋" w:cs="仿宋"/>
          <w:color w:val="000000"/>
          <w:szCs w:val="21"/>
          <w:highlight w:val="none"/>
          <w:u w:val="single"/>
          <w:lang w:eastAsia="zh-CN"/>
        </w:rPr>
        <w:t xml:space="preserve">常州市钟楼区五星街道社区卫生服务中心</w:t>
      </w:r>
      <w:r>
        <w:rPr>
          <w:rFonts w:hint="eastAsia" w:ascii="仿宋" w:hAnsi="仿宋" w:eastAsia="仿宋" w:cs="仿宋"/>
          <w:color w:val="000000"/>
          <w:szCs w:val="21"/>
          <w:highlight w:val="none"/>
          <w:u w:val="single"/>
        </w:rPr>
        <w:t xml:space="preserve">、江苏城建校工程咨询有限公司</w:t>
      </w:r>
      <w:r>
        <w:rPr>
          <w:rFonts w:hint="eastAsia" w:ascii="仿宋" w:hAnsi="仿宋" w:eastAsia="仿宋" w:cs="仿宋"/>
          <w:color w:val="000000"/>
          <w:sz w:val="24"/>
          <w:highlight w:val="none"/>
        </w:rPr>
      </w:r>
      <w:r/>
    </w:p>
    <w:p>
      <w:pPr>
        <w:pStyle w:val="1032"/>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firstLine="408"/>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我方参加你方就</w:t>
      </w:r>
      <w:r>
        <w:rPr>
          <w:rFonts w:hint="eastAsia" w:ascii="仿宋" w:hAnsi="仿宋" w:eastAsia="仿宋" w:cs="仿宋"/>
          <w:b/>
          <w:bCs/>
          <w:color w:val="000000"/>
          <w:sz w:val="21"/>
          <w:szCs w:val="21"/>
          <w:highlight w:val="none"/>
          <w:u w:val="single"/>
          <w:lang w:eastAsia="zh-CN"/>
        </w:rPr>
        <w:t xml:space="preserve">常州市钟楼区五星街道社区卫生服务中心职工食堂委托经营服务（二次）JSZC-320404-SCJX-G2026-0011</w:t>
      </w:r>
      <w:r>
        <w:rPr>
          <w:rFonts w:hint="eastAsia" w:ascii="仿宋" w:hAnsi="仿宋" w:eastAsia="仿宋" w:cs="仿宋"/>
          <w:color w:val="000000"/>
          <w:sz w:val="21"/>
          <w:szCs w:val="21"/>
          <w:highlight w:val="none"/>
        </w:rPr>
        <w:t xml:space="preserve">组织的招标活动，并对此项目进行投标。</w:t>
      </w:r>
      <w:r>
        <w:rPr>
          <w:rFonts w:hint="eastAsia" w:ascii="仿宋" w:hAnsi="仿宋" w:eastAsia="仿宋" w:cs="仿宋"/>
          <w:color w:val="000000"/>
          <w:sz w:val="21"/>
          <w:szCs w:val="21"/>
          <w:highlight w:val="none"/>
        </w:rPr>
      </w:r>
      <w:r/>
    </w:p>
    <w:p>
      <w:pPr>
        <w:pStyle w:val="1032"/>
        <w:ind w:firstLine="408"/>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 我方已详细审查全部招标文件，自愿参与投标并承诺如下：</w:t>
      </w:r>
      <w:r>
        <w:rPr>
          <w:rFonts w:hint="eastAsia" w:ascii="仿宋" w:hAnsi="仿宋" w:eastAsia="仿宋" w:cs="仿宋"/>
          <w:color w:val="000000"/>
          <w:sz w:val="21"/>
          <w:szCs w:val="21"/>
          <w:highlight w:val="none"/>
        </w:rPr>
      </w:r>
      <w:r/>
    </w:p>
    <w:p>
      <w:pPr>
        <w:pStyle w:val="1032"/>
        <w:ind w:left="360" w:firstLine="72"/>
        <w:spacing w:line="360" w:lineRule="auto"/>
        <w:tabs>
          <w:tab w:val="left" w:pos="720" w:leader="none"/>
          <w:tab w:val="left" w:pos="90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（1）本投标有效期为自提交投标文件的截止之日起90个日历天。</w:t>
      </w:r>
      <w:r>
        <w:rPr>
          <w:rFonts w:hint="eastAsia" w:ascii="仿宋" w:hAnsi="仿宋" w:eastAsia="仿宋" w:cs="仿宋"/>
          <w:color w:val="000000"/>
          <w:sz w:val="21"/>
          <w:szCs w:val="21"/>
          <w:highlight w:val="none"/>
        </w:rPr>
      </w:r>
      <w:r/>
    </w:p>
    <w:p>
      <w:pPr>
        <w:pStyle w:val="1032"/>
        <w:ind w:left="360" w:firstLine="72"/>
        <w:spacing w:line="360" w:lineRule="auto"/>
        <w:tabs>
          <w:tab w:val="left" w:pos="720" w:leader="none"/>
          <w:tab w:val="left" w:pos="90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（2）除合同条款及采购需求偏离表列出的偏离外，我方响应招标文件的全部要求。</w:t>
      </w:r>
      <w:r>
        <w:rPr>
          <w:rFonts w:hint="eastAsia" w:ascii="仿宋" w:hAnsi="仿宋" w:eastAsia="仿宋" w:cs="仿宋"/>
          <w:color w:val="000000"/>
          <w:sz w:val="21"/>
          <w:szCs w:val="21"/>
          <w:highlight w:val="none"/>
        </w:rPr>
      </w:r>
      <w:r/>
    </w:p>
    <w:p>
      <w:pPr>
        <w:pStyle w:val="1032"/>
        <w:ind w:firstLine="42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（3）我方已提供的全部文件资料是真实、准确的，并对此承担一切法律后果。</w:t>
      </w:r>
      <w:r>
        <w:rPr>
          <w:rFonts w:hint="eastAsia" w:ascii="仿宋" w:hAnsi="仿宋" w:eastAsia="仿宋" w:cs="仿宋"/>
          <w:color w:val="000000"/>
          <w:sz w:val="21"/>
          <w:szCs w:val="21"/>
          <w:highlight w:val="none"/>
        </w:rPr>
      </w:r>
      <w:r/>
    </w:p>
    <w:p>
      <w:pPr>
        <w:pStyle w:val="1032"/>
        <w:ind w:firstLine="42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仿宋" w:hAnsi="仿宋" w:eastAsia="仿宋" w:cs="仿宋"/>
          <w:color w:val="000000"/>
          <w:sz w:val="21"/>
          <w:szCs w:val="21"/>
          <w:highlight w:val="none"/>
        </w:rPr>
      </w:r>
      <w:r/>
    </w:p>
    <w:p>
      <w:pPr>
        <w:pStyle w:val="1032"/>
        <w:ind w:left="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 其他补充条款（如有）：___________。</w:t>
      </w:r>
      <w:r>
        <w:rPr>
          <w:rFonts w:hint="eastAsia" w:ascii="仿宋" w:hAnsi="仿宋" w:eastAsia="仿宋" w:cs="仿宋"/>
          <w:color w:val="000000"/>
          <w:sz w:val="21"/>
          <w:szCs w:val="21"/>
          <w:highlight w:val="none"/>
        </w:rPr>
      </w:r>
      <w:r/>
    </w:p>
    <w:p>
      <w:pPr>
        <w:pStyle w:val="1032"/>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与本投标有关的一切正式往来信函请寄：</w:t>
      </w:r>
      <w:r>
        <w:rPr>
          <w:rFonts w:hint="eastAsia" w:ascii="仿宋" w:hAnsi="仿宋" w:eastAsia="仿宋" w:cs="仿宋"/>
          <w:color w:val="000000"/>
          <w:sz w:val="21"/>
          <w:szCs w:val="21"/>
          <w:highlight w:val="none"/>
        </w:rPr>
      </w:r>
      <w:r/>
    </w:p>
    <w:p>
      <w:pPr>
        <w:pStyle w:val="103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地址_________________________     传真____________________________</w:t>
      </w:r>
      <w:r>
        <w:rPr>
          <w:rFonts w:hint="eastAsia" w:ascii="仿宋" w:hAnsi="仿宋" w:eastAsia="仿宋" w:cs="仿宋"/>
          <w:color w:val="000000"/>
          <w:sz w:val="24"/>
          <w:szCs w:val="20"/>
          <w:highlight w:val="none"/>
        </w:rPr>
      </w:r>
      <w:r/>
    </w:p>
    <w:p>
      <w:pPr>
        <w:pStyle w:val="103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电话_________________________     电子邮箱________________________</w:t>
      </w:r>
      <w:r>
        <w:rPr>
          <w:rFonts w:hint="eastAsia" w:ascii="仿宋" w:hAnsi="仿宋" w:eastAsia="仿宋" w:cs="仿宋"/>
          <w:color w:val="000000"/>
          <w:sz w:val="24"/>
          <w:szCs w:val="20"/>
          <w:highlight w:val="none"/>
        </w:rPr>
      </w:r>
      <w:r/>
    </w:p>
    <w:p>
      <w:pPr>
        <w:pStyle w:val="103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03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  </w:t>
      </w:r>
      <w:r>
        <w:rPr>
          <w:rFonts w:hint="eastAsia" w:ascii="仿宋" w:hAnsi="仿宋" w:eastAsia="仿宋" w:cs="仿宋"/>
          <w:color w:val="000000"/>
          <w:sz w:val="24"/>
          <w:szCs w:val="20"/>
          <w:highlight w:val="none"/>
        </w:rPr>
      </w:r>
      <w:r/>
    </w:p>
    <w:p>
      <w:pPr>
        <w:pStyle w:val="1032"/>
        <w:ind w:left="420"/>
        <w:spacing w:line="360" w:lineRule="auto"/>
        <w:tabs>
          <w:tab w:val="left" w:pos="5580" w:leader="none"/>
        </w:tabs>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r>
      <w:r/>
    </w:p>
    <w:p>
      <w:pPr>
        <w:pStyle w:val="1032"/>
        <w:jc w:val="left"/>
        <w:widowControl/>
        <w:rPr>
          <w:rFonts w:hint="eastAsia" w:ascii="仿宋" w:hAnsi="仿宋" w:eastAsia="仿宋" w:cs="仿宋"/>
          <w:color w:val="000000"/>
          <w:sz w:val="24"/>
          <w:highlight w:val="none"/>
        </w:rPr>
      </w:pPr>
      <w:r/>
      <w:bookmarkStart w:id="844" w:name="_Hlt520355938"/>
      <w:r/>
      <w:bookmarkEnd w:id="844"/>
      <w:r/>
      <w:bookmarkStart w:id="845" w:name="_Hlt520356243"/>
      <w:r/>
      <w:bookmarkEnd w:id="845"/>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r>
      <w:r/>
    </w:p>
    <w:p>
      <w:pPr>
        <w:pStyle w:val="1032"/>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  法定代表人资格证明书</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b/>
          <w:bCs/>
          <w:color w:val="000000"/>
          <w:sz w:val="24"/>
          <w:highlight w:val="none"/>
        </w:rPr>
      </w:r>
      <w:r/>
    </w:p>
    <w:p>
      <w:pPr>
        <w:pStyle w:val="1032"/>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32"/>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法定代表人资格证明书</w:t>
      </w:r>
      <w:r>
        <w:rPr>
          <w:rFonts w:hint="eastAsia" w:ascii="仿宋" w:hAnsi="仿宋" w:eastAsia="仿宋" w:cs="仿宋"/>
          <w:b/>
          <w:color w:val="000000"/>
          <w:sz w:val="32"/>
          <w:szCs w:val="32"/>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姓名:     性别:       年龄:      职务:</w:t>
      </w:r>
      <w:r>
        <w:rPr>
          <w:rFonts w:hint="eastAsia" w:ascii="仿宋" w:hAnsi="仿宋" w:eastAsia="仿宋" w:cs="仿宋"/>
          <w:color w:val="000000"/>
          <w:sz w:val="24"/>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w:t>
      </w:r>
      <w:r>
        <w:rPr>
          <w:rFonts w:hint="eastAsia" w:ascii="仿宋" w:hAnsi="仿宋" w:eastAsia="仿宋" w:cs="仿宋"/>
          <w:color w:val="000000"/>
          <w:sz w:val="24"/>
          <w:highlight w:val="none"/>
          <w:u w:val="single"/>
        </w:rPr>
        <w:t xml:space="preserve">（投标单位名称）</w:t>
      </w:r>
      <w:r>
        <w:rPr>
          <w:rFonts w:hint="eastAsia" w:ascii="仿宋" w:hAnsi="仿宋" w:eastAsia="仿宋" w:cs="仿宋"/>
          <w:color w:val="000000"/>
          <w:sz w:val="24"/>
          <w:highlight w:val="none"/>
        </w:rPr>
        <w:t xml:space="preserve">的法定代表人。为参与</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常州市钟楼区五星街道社区卫生服务中心职工食堂委托经营服务（二次）</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JSZC-320404-SCJX-G2026-0011</w:t>
      </w:r>
      <w:r>
        <w:rPr>
          <w:rFonts w:hint="eastAsia" w:ascii="仿宋" w:hAnsi="仿宋" w:eastAsia="仿宋" w:cs="仿宋"/>
          <w:color w:val="000000"/>
          <w:sz w:val="24"/>
          <w:highlight w:val="none"/>
        </w:rPr>
        <w:t xml:space="preserve">的政府采购活动，</w:t>
      </w:r>
      <w:r>
        <w:rPr>
          <w:rFonts w:hint="eastAsia" w:ascii="仿宋" w:hAnsi="仿宋" w:eastAsia="仿宋" w:cs="仿宋"/>
          <w:color w:val="000000"/>
          <w:sz w:val="24"/>
          <w:szCs w:val="20"/>
          <w:highlight w:val="none"/>
        </w:rPr>
        <w:t xml:space="preserve">签署、澄清确认、递交、撤回、修改</w:t>
      </w:r>
      <w:r>
        <w:rPr>
          <w:rFonts w:hint="eastAsia" w:ascii="仿宋" w:hAnsi="仿宋" w:eastAsia="仿宋" w:cs="仿宋"/>
          <w:color w:val="000000"/>
          <w:sz w:val="24"/>
          <w:highlight w:val="none"/>
        </w:rPr>
        <w:t xml:space="preserve">上述项目的投标文件、进行合同谈判、签署合同和处理与之有关的一切事务。</w:t>
      </w:r>
      <w:r>
        <w:rPr>
          <w:rFonts w:hint="eastAsia" w:ascii="仿宋" w:hAnsi="仿宋" w:eastAsia="仿宋" w:cs="仿宋"/>
          <w:color w:val="000000"/>
          <w:sz w:val="24"/>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特此证明。</w:t>
      </w:r>
      <w:r>
        <w:rPr>
          <w:rFonts w:hint="eastAsia" w:ascii="仿宋" w:hAnsi="仿宋" w:eastAsia="仿宋" w:cs="仿宋"/>
          <w:color w:val="000000"/>
          <w:sz w:val="24"/>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46"/>
        <w:ind w:right="-46"/>
        <w:spacing w:line="583" w:lineRule="auto"/>
        <w:tabs>
          <w:tab w:val="left" w:pos="567" w:leader="none"/>
        </w:tabs>
        <w:rPr>
          <w:rFonts w:hint="eastAsia" w:ascii="仿宋" w:hAnsi="仿宋" w:eastAsia="仿宋" w:cs="仿宋"/>
          <w:color w:val="000000"/>
          <w:spacing w:val="-3"/>
          <w:highlight w:val="none"/>
        </w:rPr>
      </w:pPr>
      <w:r>
        <w:rPr>
          <w:rFonts w:hint="eastAsia" w:ascii="仿宋" w:hAnsi="仿宋" w:eastAsia="仿宋" w:cs="仿宋"/>
          <w:color w:val="000000"/>
          <w:highlight w:val="none"/>
        </w:rPr>
        <w:t xml:space="preserve">附：</w:t>
      </w:r>
      <w:r>
        <w:rPr>
          <w:rFonts w:hint="eastAsia" w:ascii="仿宋" w:hAnsi="仿宋" w:eastAsia="仿宋" w:cs="仿宋"/>
          <w:color w:val="000000"/>
          <w:spacing w:val="-3"/>
          <w:highlight w:val="none"/>
        </w:rPr>
        <w:t xml:space="preserve">法</w:t>
      </w:r>
      <w:r>
        <w:rPr>
          <w:rFonts w:hint="eastAsia" w:ascii="仿宋" w:hAnsi="仿宋" w:eastAsia="仿宋" w:cs="仿宋"/>
          <w:color w:val="000000"/>
          <w:highlight w:val="none"/>
        </w:rPr>
        <w:t xml:space="preserve">定</w:t>
      </w:r>
      <w:r>
        <w:rPr>
          <w:rFonts w:hint="eastAsia" w:ascii="仿宋" w:hAnsi="仿宋" w:eastAsia="仿宋" w:cs="仿宋"/>
          <w:color w:val="000000"/>
          <w:spacing w:val="-3"/>
          <w:highlight w:val="none"/>
        </w:rPr>
        <w:t xml:space="preserve">代</w:t>
      </w:r>
      <w:r>
        <w:rPr>
          <w:rFonts w:hint="eastAsia" w:ascii="仿宋" w:hAnsi="仿宋" w:eastAsia="仿宋" w:cs="仿宋"/>
          <w:color w:val="000000"/>
          <w:highlight w:val="none"/>
        </w:rPr>
        <w:t xml:space="preserve">表</w:t>
      </w:r>
      <w:r>
        <w:rPr>
          <w:rFonts w:hint="eastAsia" w:ascii="仿宋" w:hAnsi="仿宋" w:eastAsia="仿宋" w:cs="仿宋"/>
          <w:color w:val="000000"/>
          <w:spacing w:val="-3"/>
          <w:highlight w:val="none"/>
        </w:rPr>
        <w:t xml:space="preserve">人</w:t>
      </w:r>
      <w:r>
        <w:rPr>
          <w:rFonts w:hint="eastAsia" w:ascii="仿宋" w:hAnsi="仿宋" w:eastAsia="仿宋" w:cs="仿宋"/>
          <w:color w:val="000000"/>
          <w:highlight w:val="none"/>
        </w:rPr>
        <w:t xml:space="preserve">（</w:t>
      </w:r>
      <w:r>
        <w:rPr>
          <w:rFonts w:hint="eastAsia" w:ascii="仿宋" w:hAnsi="仿宋" w:eastAsia="仿宋" w:cs="仿宋"/>
          <w:color w:val="000000"/>
          <w:spacing w:val="-3"/>
          <w:highlight w:val="none"/>
        </w:rPr>
        <w:t xml:space="preserve">单</w:t>
      </w:r>
      <w:r>
        <w:rPr>
          <w:rFonts w:hint="eastAsia" w:ascii="仿宋" w:hAnsi="仿宋" w:eastAsia="仿宋" w:cs="仿宋"/>
          <w:color w:val="000000"/>
          <w:highlight w:val="none"/>
        </w:rPr>
        <w:t xml:space="preserve">位</w:t>
      </w:r>
      <w:r>
        <w:rPr>
          <w:rFonts w:hint="eastAsia" w:ascii="仿宋" w:hAnsi="仿宋" w:eastAsia="仿宋" w:cs="仿宋"/>
          <w:color w:val="000000"/>
          <w:spacing w:val="-3"/>
          <w:highlight w:val="none"/>
        </w:rPr>
        <w:t xml:space="preserve">负</w:t>
      </w:r>
      <w:r>
        <w:rPr>
          <w:rFonts w:hint="eastAsia" w:ascii="仿宋" w:hAnsi="仿宋" w:eastAsia="仿宋" w:cs="仿宋"/>
          <w:color w:val="000000"/>
          <w:highlight w:val="none"/>
        </w:rPr>
        <w:t xml:space="preserve">责人</w:t>
      </w:r>
      <w:r>
        <w:rPr>
          <w:rFonts w:hint="eastAsia" w:ascii="仿宋" w:hAnsi="仿宋" w:eastAsia="仿宋" w:cs="仿宋"/>
          <w:color w:val="000000"/>
          <w:spacing w:val="-3"/>
          <w:highlight w:val="none"/>
        </w:rPr>
        <w:t xml:space="preserve">）有效期内的身份证正反面扫描件加盖公章。</w:t>
      </w:r>
      <w:r>
        <w:rPr>
          <w:rFonts w:hint="eastAsia" w:ascii="仿宋" w:hAnsi="仿宋" w:eastAsia="仿宋" w:cs="仿宋"/>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c>
          <w:tcPr>
            <w:tcW w:w="4536" w:type="dxa"/>
            <w:vAlign w:val="top"/>
            <w:textDirection w:val="lrTb"/>
            <w:noWrap w:val="false"/>
          </w:tcPr>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r>
    </w:tbl>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bookmarkStart w:id="846" w:name="_Hlk107701949"/>
      <w:r>
        <w:rPr>
          <w:rFonts w:hint="eastAsia" w:ascii="仿宋" w:hAnsi="仿宋" w:eastAsia="仿宋" w:cs="仿宋"/>
          <w:color w:val="000000"/>
          <w:sz w:val="24"/>
          <w:highlight w:val="none"/>
        </w:rPr>
        <w:t xml:space="preserve"> 供应商：（加盖公章）</w:t>
      </w:r>
      <w:r>
        <w:rPr>
          <w:rFonts w:hint="eastAsia" w:ascii="仿宋" w:hAnsi="仿宋" w:eastAsia="仿宋" w:cs="仿宋"/>
          <w:color w:val="000000"/>
          <w:sz w:val="24"/>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bookmarkEnd w:id="846"/>
      <w:r>
        <w:rPr>
          <w:rFonts w:hint="eastAsia" w:ascii="仿宋" w:hAnsi="仿宋" w:eastAsia="仿宋" w:cs="仿宋"/>
          <w:color w:val="000000"/>
          <w:sz w:val="24"/>
          <w:highlight w:val="none"/>
        </w:rPr>
      </w:r>
      <w:r/>
    </w:p>
    <w:p>
      <w:pPr>
        <w:pStyle w:val="103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说明：</w:t>
      </w:r>
      <w:r>
        <w:rPr>
          <w:rFonts w:hint="eastAsia" w:ascii="仿宋" w:hAnsi="仿宋" w:eastAsia="仿宋" w:cs="仿宋"/>
          <w:color w:val="000000"/>
          <w:sz w:val="24"/>
          <w:szCs w:val="20"/>
          <w:highlight w:val="none"/>
        </w:rPr>
      </w:r>
      <w:r/>
    </w:p>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仿宋" w:hAnsi="仿宋" w:eastAsia="仿宋" w:cs="仿宋"/>
          <w:color w:val="000000"/>
          <w:sz w:val="24"/>
          <w:szCs w:val="20"/>
          <w:highlight w:val="none"/>
        </w:rPr>
      </w:r>
      <w:r/>
    </w:p>
    <w:p>
      <w:pPr>
        <w:pStyle w:val="1032"/>
        <w:jc w:val="left"/>
        <w:spacing w:line="360" w:lineRule="auto"/>
        <w:tabs>
          <w:tab w:val="left" w:pos="5580" w:leader="none"/>
        </w:tabs>
        <w:rPr>
          <w:rFonts w:hint="eastAsia" w:ascii="仿宋" w:hAnsi="仿宋" w:eastAsia="仿宋" w:cs="仿宋"/>
          <w:i/>
          <w:color w:val="000000"/>
          <w:sz w:val="24"/>
          <w:szCs w:val="20"/>
          <w:highlight w:val="none"/>
          <w:u w:val="single"/>
        </w:rPr>
      </w:pPr>
      <w:r>
        <w:rPr>
          <w:rFonts w:hint="eastAsia" w:ascii="仿宋" w:hAnsi="仿宋" w:eastAsia="仿宋" w:cs="仿宋"/>
          <w:color w:val="000000"/>
          <w:sz w:val="24"/>
          <w:szCs w:val="20"/>
          <w:highlight w:val="none"/>
        </w:rPr>
        <w:t xml:space="preserve">2.供应商为自然人的情形，可不提供本《授权委托书》。</w:t>
      </w:r>
      <w:r>
        <w:rPr>
          <w:rFonts w:hint="eastAsia" w:ascii="仿宋" w:hAnsi="仿宋" w:eastAsia="仿宋" w:cs="仿宋"/>
          <w:i/>
          <w:color w:val="000000"/>
          <w:sz w:val="24"/>
          <w:szCs w:val="20"/>
          <w:highlight w:val="none"/>
          <w:u w:val="single"/>
        </w:rPr>
      </w:r>
      <w:r/>
    </w:p>
    <w:p>
      <w:pPr>
        <w:pStyle w:val="103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ind w:firstLine="562"/>
        <w:jc w:val="center"/>
        <w:spacing w:before="240" w:after="24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b/>
          <w:bCs/>
          <w:color w:val="000000"/>
          <w:sz w:val="28"/>
          <w:szCs w:val="28"/>
          <w:highlight w:val="none"/>
        </w:rPr>
        <w:t xml:space="preserve">法定代表人授权委托书</w:t>
      </w:r>
      <w:r>
        <w:rPr>
          <w:rFonts w:hint="eastAsia" w:ascii="仿宋" w:hAnsi="仿宋" w:eastAsia="仿宋" w:cs="仿宋"/>
          <w:b/>
          <w:bCs/>
          <w:color w:val="000000"/>
          <w:sz w:val="28"/>
          <w:szCs w:val="28"/>
          <w:highlight w:val="none"/>
        </w:rPr>
      </w:r>
      <w:r/>
    </w:p>
    <w:p>
      <w:pPr>
        <w:pStyle w:val="103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法定代表人（或非法人组织负责人）姓名：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身份证号码：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住所地：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授权委托人姓名：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身份证号码：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工作单位：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住址：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电话：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现委托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就</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常州市钟楼区五星街道社区卫生服务中心职工食堂委托经营服务（二次）JSZC-320404-SCJX-G2026-0011</w:t>
      </w:r>
      <w:r>
        <w:rPr>
          <w:rFonts w:hint="eastAsia" w:ascii="仿宋" w:hAnsi="仿宋" w:eastAsia="仿宋" w:cs="仿宋"/>
          <w:color w:val="000000"/>
          <w:sz w:val="24"/>
          <w:highlight w:val="none"/>
        </w:rPr>
        <w:t xml:space="preserve">采购活动，以我单位名义处理一切与之有关的事务。</w:t>
      </w:r>
      <w:r>
        <w:rPr>
          <w:rFonts w:hint="eastAsia" w:ascii="仿宋" w:hAnsi="仿宋" w:eastAsia="仿宋" w:cs="仿宋"/>
          <w:color w:val="000000"/>
          <w:sz w:val="24"/>
          <w:highlight w:val="none"/>
        </w:rPr>
      </w:r>
      <w:r/>
    </w:p>
    <w:p>
      <w:pPr>
        <w:pStyle w:val="103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本授权书于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日签字或盖章</w:t>
      </w:r>
      <w:r>
        <w:rPr>
          <w:rFonts w:hint="eastAsia" w:ascii="仿宋" w:hAnsi="仿宋" w:eastAsia="仿宋" w:cs="仿宋"/>
          <w:b/>
          <w:color w:val="000000"/>
          <w:sz w:val="24"/>
          <w:highlight w:val="none"/>
        </w:rPr>
        <w:t xml:space="preserve">生效，无转委托，</w:t>
      </w:r>
      <w:r>
        <w:rPr>
          <w:rFonts w:hint="eastAsia" w:ascii="仿宋" w:hAnsi="仿宋" w:eastAsia="仿宋" w:cs="仿宋"/>
          <w:color w:val="000000"/>
          <w:sz w:val="24"/>
          <w:highlight w:val="none"/>
        </w:rPr>
        <w:t xml:space="preserve">特此声明。</w:t>
      </w:r>
      <w:r>
        <w:rPr>
          <w:rFonts w:hint="eastAsia" w:ascii="仿宋" w:hAnsi="仿宋" w:eastAsia="仿宋" w:cs="仿宋"/>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trHeight w:val="3520"/>
        </w:trPr>
        <w:tc>
          <w:tcPr>
            <w:tcW w:w="8228" w:type="dxa"/>
            <w:vAlign w:val="top"/>
            <w:textDirection w:val="lrTb"/>
            <w:noWrap w:val="false"/>
          </w:tcPr>
          <w:p>
            <w:pPr>
              <w:pStyle w:val="1032"/>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（※授权委托人身份证正、反面扫描件※）</w:t>
            </w:r>
            <w:r>
              <w:rPr>
                <w:rFonts w:hint="eastAsia" w:ascii="仿宋" w:hAnsi="仿宋" w:eastAsia="仿宋" w:cs="仿宋"/>
                <w:color w:val="000000"/>
                <w:sz w:val="24"/>
                <w:highlight w:val="none"/>
              </w:rPr>
            </w:r>
            <w:r/>
          </w:p>
        </w:tc>
      </w:tr>
    </w:tbl>
    <w:p>
      <w:pPr>
        <w:pStyle w:val="103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委托人（加盖单位公章）：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法定代表人（或非法人组织负责人）（签字或盖章）：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授权委托人：（签字或盖章）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03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详细通讯地址：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邮政编码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传        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电    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ind w:firstLine="480"/>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t xml:space="preserve">3</w:t>
      </w:r>
      <w:r>
        <w:rPr>
          <w:rFonts w:hint="eastAsia" w:ascii="仿宋" w:hAnsi="仿宋" w:eastAsia="仿宋" w:cs="仿宋"/>
          <w:b/>
          <w:bCs/>
          <w:color w:val="000000"/>
          <w:sz w:val="24"/>
          <w:highlight w:val="none"/>
        </w:rPr>
        <w:t xml:space="preserve">政府采购供应商信用承诺书</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color w:val="000000"/>
          <w:sz w:val="24"/>
          <w:highlight w:val="none"/>
        </w:rPr>
      </w:r>
      <w:r/>
    </w:p>
    <w:p>
      <w:pPr>
        <w:pStyle w:val="1032"/>
        <w:ind w:firstLine="321"/>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政府采购供应商信用承诺书</w:t>
      </w:r>
      <w:r>
        <w:rPr>
          <w:rFonts w:hint="eastAsia" w:ascii="仿宋" w:hAnsi="仿宋" w:eastAsia="仿宋" w:cs="仿宋"/>
          <w:b/>
          <w:color w:val="000000"/>
          <w:sz w:val="32"/>
          <w:szCs w:val="32"/>
          <w:highlight w:val="none"/>
        </w:rPr>
      </w:r>
      <w:r/>
    </w:p>
    <w:p>
      <w:pPr>
        <w:pStyle w:val="1032"/>
        <w:ind w:firstLine="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为维护公开、公平、公正的政府采购市场秩序，树立诚实守信的供应商形象，本单位在参与政府采购活动中,自愿作出以下承诺：</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五、承诺本单位自觉接受行政管理部门、行业组织、社会公众、新闻舆论的监督。 </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七、承诺本单位在信用中国（江苏）网站中无违法违规、较重或严重失信记录。 </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八、承诺本单位提出政府采购质疑和投诉坚持依法依规、诚实信用原则。</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九、根据政府采购相关法律法规的规定需要作出的其他承诺。 </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仿宋" w:hAnsi="仿宋" w:eastAsia="仿宋" w:cs="仿宋"/>
          <w:color w:val="000000"/>
          <w:szCs w:val="21"/>
          <w:highlight w:val="none"/>
        </w:rPr>
      </w:r>
      <w:r/>
    </w:p>
    <w:p>
      <w:pPr>
        <w:pStyle w:val="1471"/>
        <w:ind w:right="1050" w:firstLine="2520"/>
        <w:jc w:val="both"/>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32"/>
        <w:ind w:firstLine="4830"/>
        <w:spacing w:line="360" w:lineRule="auto"/>
        <w:rPr>
          <w:rFonts w:hint="eastAsia" w:ascii="仿宋" w:hAnsi="仿宋" w:eastAsia="仿宋" w:cs="仿宋"/>
          <w:color w:val="000000"/>
          <w:szCs w:val="21"/>
          <w:highlight w:val="none"/>
        </w:rPr>
      </w:pPr>
      <w:r/>
      <w:bookmarkStart w:id="847" w:name="_Hlt520271212"/>
      <w:r/>
      <w:bookmarkEnd w:id="847"/>
      <w:r/>
      <w:bookmarkStart w:id="848" w:name="_Hlt520343000"/>
      <w:r/>
      <w:bookmarkEnd w:id="848"/>
      <w:r/>
      <w:bookmarkStart w:id="849" w:name="_Hlt520274393"/>
      <w:r/>
      <w:bookmarkEnd w:id="849"/>
      <w:r/>
      <w:bookmarkStart w:id="850" w:name="_Hlt520343392"/>
      <w:r/>
      <w:bookmarkEnd w:id="850"/>
      <w:r/>
      <w:bookmarkStart w:id="851" w:name="_Hlt520355504"/>
      <w:r/>
      <w:bookmarkEnd w:id="851"/>
      <w:r/>
      <w:bookmarkStart w:id="852" w:name="_Hlt520274407"/>
      <w:r/>
      <w:bookmarkEnd w:id="852"/>
      <w:r/>
      <w:bookmarkStart w:id="853" w:name="_Hlt520274065"/>
      <w:r/>
      <w:bookmarkEnd w:id="853"/>
      <w:r/>
      <w:bookmarkStart w:id="854" w:name="_Hlt520273711"/>
      <w:r/>
      <w:bookmarkEnd w:id="854"/>
      <w:r/>
      <w:bookmarkStart w:id="855" w:name="_Hlt520350918"/>
      <w:r/>
      <w:bookmarkEnd w:id="855"/>
      <w:r/>
      <w:bookmarkStart w:id="856" w:name="_Hlt520274121"/>
      <w:r/>
      <w:bookmarkEnd w:id="856"/>
      <w:r/>
      <w:bookmarkStart w:id="857" w:name="_Hlk107701995"/>
      <w:r/>
      <w:bookmarkStart w:id="858" w:name="_Toc142311059"/>
      <w:r/>
      <w:bookmarkStart w:id="859" w:name="_Toc264969247"/>
      <w:r/>
      <w:bookmarkStart w:id="860" w:name="_Ref467988705"/>
      <w:r/>
      <w:bookmarkStart w:id="861" w:name="_Toc226309801"/>
      <w:r/>
      <w:bookmarkStart w:id="862" w:name="_Toc150774762"/>
      <w:r/>
      <w:bookmarkStart w:id="863" w:name="_Toc480942350"/>
      <w:r/>
      <w:bookmarkStart w:id="864" w:name="_Toc520356218"/>
      <w:r/>
      <w:bookmarkStart w:id="865" w:name="_Toc195842922"/>
      <w:r/>
      <w:bookmarkStart w:id="866" w:name="_Toc226337253"/>
      <w:r/>
      <w:bookmarkStart w:id="867" w:name="_Toc305158825"/>
      <w:r/>
      <w:bookmarkStart w:id="868" w:name="_Toc265228395"/>
      <w:r/>
      <w:bookmarkStart w:id="869" w:name="_Toc226965830"/>
      <w:r/>
      <w:bookmarkStart w:id="870" w:name="_Toc305158899"/>
      <w:r/>
      <w:bookmarkStart w:id="871" w:name="_Toc226965747"/>
      <w:r/>
      <w:bookmarkStart w:id="872" w:name="_Toc127151557"/>
      <w:r/>
      <w:bookmarkStart w:id="873" w:name="_Toc150480795"/>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032"/>
        <w:ind w:firstLine="48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ind w:firstLine="483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    年    月    日</w:t>
      </w: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bookmarkEnd w:id="857"/>
      <w:r>
        <w:rPr>
          <w:rFonts w:hint="eastAsia" w:ascii="仿宋" w:hAnsi="仿宋" w:eastAsia="仿宋" w:cs="仿宋"/>
          <w:color w:val="000000"/>
          <w:sz w:val="24"/>
          <w:szCs w:val="20"/>
          <w:highlight w:val="none"/>
        </w:rPr>
        <w:t xml:space="preserve">4  开标一览表</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032"/>
        <w:jc w:val="center"/>
        <w:spacing w:line="360" w:lineRule="exact"/>
        <w:rPr>
          <w:rFonts w:hint="eastAsia" w:ascii="仿宋" w:hAnsi="仿宋" w:eastAsia="仿宋" w:cs="仿宋"/>
          <w:b/>
          <w:color w:val="000000"/>
          <w:sz w:val="36"/>
          <w:szCs w:val="36"/>
          <w:highlight w:val="none"/>
        </w:rPr>
      </w:pPr>
      <w:r/>
      <w:bookmarkStart w:id="874" w:name="_Toc264969248"/>
      <w:r/>
      <w:bookmarkStart w:id="875" w:name="_Toc226965831"/>
      <w:r/>
      <w:bookmarkStart w:id="876" w:name="_Toc226965748"/>
      <w:r/>
      <w:bookmarkStart w:id="877" w:name="_Toc164608672"/>
      <w:r/>
      <w:bookmarkStart w:id="878" w:name="_Toc226309802"/>
      <w:r/>
      <w:bookmarkStart w:id="879" w:name="_Toc305158826"/>
      <w:r/>
      <w:bookmarkStart w:id="880" w:name="_Toc265228396"/>
      <w:r/>
      <w:bookmarkStart w:id="881" w:name="_Toc305158900"/>
      <w:r/>
      <w:bookmarkStart w:id="882" w:name="_Toc226337254"/>
      <w:r/>
      <w:bookmarkStart w:id="883" w:name="_Toc164608827"/>
      <w:r/>
      <w:bookmarkStart w:id="884" w:name="_Toc195842923"/>
      <w:r>
        <w:rPr>
          <w:rFonts w:hint="eastAsia" w:ascii="仿宋" w:hAnsi="仿宋" w:eastAsia="仿宋" w:cs="仿宋"/>
          <w:b/>
          <w:color w:val="000000"/>
          <w:sz w:val="36"/>
          <w:szCs w:val="36"/>
          <w:highlight w:val="none"/>
        </w:rPr>
      </w:r>
      <w:r/>
    </w:p>
    <w:p>
      <w:pPr>
        <w:pStyle w:val="1032"/>
        <w:jc w:val="center"/>
        <w:spacing w:line="3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开标一览表</w:t>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ascii="仿宋" w:hAnsi="仿宋" w:eastAsia="仿宋" w:cs="仿宋"/>
          <w:b/>
          <w:color w:val="000000"/>
          <w:sz w:val="36"/>
          <w:szCs w:val="36"/>
          <w:highlight w:val="none"/>
        </w:rPr>
      </w:r>
      <w:r/>
    </w:p>
    <w:p>
      <w:pPr>
        <w:pStyle w:val="1032"/>
        <w:ind w:firstLine="240"/>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JSZC-320404-SCJX-G2026-0011</w:t>
      </w:r>
      <w:r>
        <w:rPr>
          <w:rFonts w:hint="eastAsia" w:ascii="仿宋" w:hAnsi="仿宋" w:eastAsia="仿宋" w:cs="仿宋"/>
          <w:b/>
          <w:bCs/>
          <w:color w:val="000000"/>
          <w:sz w:val="24"/>
          <w:highlight w:val="none"/>
          <w:u w:val="single"/>
          <w:lang w:eastAsia="zh-CN"/>
        </w:rPr>
      </w:r>
      <w:r/>
    </w:p>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常州市钟楼区五星街道社区卫生服务中心职工食堂委托经营服务（二次）</w:t>
      </w:r>
      <w:r>
        <w:rPr>
          <w:rFonts w:hint="eastAsia" w:ascii="仿宋" w:hAnsi="仿宋" w:eastAsia="仿宋" w:cs="仿宋"/>
          <w:b/>
          <w:bCs/>
          <w:color w:val="000000"/>
          <w:sz w:val="24"/>
          <w:highlight w:val="none"/>
          <w:u w:val="single"/>
          <w:lang w:eastAsia="zh-CN"/>
        </w:rPr>
      </w:r>
      <w:r/>
    </w:p>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u w:val="single"/>
          <w:lang w:eastAsia="zh-CN"/>
        </w:rPr>
      </w:r>
      <w:r/>
    </w:p>
    <w:tbl>
      <w:tblPr>
        <w:tblW w:w="450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62"/>
        <w:gridCol w:w="2445"/>
        <w:gridCol w:w="3120"/>
        <w:gridCol w:w="2271"/>
      </w:tblGrid>
      <w:tr>
        <w:trPr>
          <w:trHeight w:val="531"/>
        </w:trPr>
        <w:tc>
          <w:tcPr>
            <w:tcW w:w="496" w:type="dxa"/>
            <w:vAlign w:val="center"/>
            <w:vMerge w:val="restart"/>
            <w:textDirection w:val="lrTb"/>
            <w:noWrap w:val="false"/>
          </w:tcPr>
          <w:p>
            <w:pPr>
              <w:pStyle w:val="1032"/>
              <w:jc w:val="center"/>
              <w:spacing w:line="360" w:lineRule="auto"/>
              <w:shd w:val="clear" w:color="auto" w:fill="ffffff"/>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1404" w:type="dxa"/>
            <w:vAlign w:val="center"/>
            <w:vMerge w:val="restart"/>
            <w:textDirection w:val="lrTb"/>
            <w:noWrap w:val="false"/>
          </w:tcPr>
          <w:p>
            <w:pPr>
              <w:pStyle w:val="1032"/>
              <w:jc w:val="center"/>
              <w:spacing w:line="360" w:lineRule="auto"/>
              <w:shd w:val="clear" w:color="auto" w:fill="ffffff"/>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lang w:val="en-US" w:eastAsia="zh-CN"/>
              </w:rPr>
              <w:t xml:space="preserve">服务</w:t>
            </w:r>
            <w:r>
              <w:rPr>
                <w:rFonts w:hint="eastAsia" w:ascii="仿宋" w:hAnsi="仿宋" w:eastAsia="仿宋" w:cs="仿宋"/>
                <w:b/>
                <w:color w:val="000000"/>
                <w:szCs w:val="21"/>
                <w:highlight w:val="none"/>
              </w:rPr>
              <w:t xml:space="preserve">名称</w:t>
            </w:r>
            <w:r>
              <w:rPr>
                <w:rFonts w:hint="eastAsia" w:ascii="仿宋" w:hAnsi="仿宋" w:eastAsia="仿宋" w:cs="仿宋"/>
                <w:b/>
                <w:color w:val="000000"/>
                <w:szCs w:val="21"/>
                <w:highlight w:val="none"/>
              </w:rPr>
            </w:r>
            <w:r/>
          </w:p>
        </w:tc>
        <w:tc>
          <w:tcPr>
            <w:gridSpan w:val="2"/>
            <w:tcW w:w="5391" w:type="dxa"/>
            <w:vAlign w:val="center"/>
            <w:textDirection w:val="lrTb"/>
            <w:noWrap w:val="false"/>
          </w:tcPr>
          <w:p>
            <w:pPr>
              <w:pStyle w:val="1032"/>
              <w:jc w:val="center"/>
              <w:spacing w:line="360" w:lineRule="auto"/>
              <w:shd w:val="clear" w:color="auto" w:fill="ffffff"/>
              <w:tabs>
                <w:tab w:val="left" w:pos="5580" w:leader="none"/>
              </w:tabs>
              <w:rPr>
                <w:rFonts w:ascii="仿宋" w:hAnsi="仿宋" w:eastAsia="仿宋" w:cs="仿宋"/>
                <w:b/>
                <w:color w:val="000000"/>
                <w:szCs w:val="21"/>
                <w:highlight w:val="none"/>
                <w:lang w:val="en-US" w:eastAsia="zh-CN"/>
              </w:rPr>
            </w:pPr>
            <w:r>
              <w:rPr>
                <w:rFonts w:hint="eastAsia" w:ascii="仿宋" w:hAnsi="仿宋" w:eastAsia="仿宋" w:cs="仿宋"/>
                <w:b/>
                <w:color w:val="000000"/>
                <w:szCs w:val="21"/>
                <w:highlight w:val="none"/>
                <w:lang w:val="en-US" w:eastAsia="zh-CN"/>
              </w:rPr>
              <w:t xml:space="preserve">固定优惠率（%）</w:t>
            </w:r>
            <w:r>
              <w:rPr>
                <w:rFonts w:ascii="仿宋" w:hAnsi="仿宋" w:eastAsia="仿宋" w:cs="仿宋"/>
                <w:b/>
                <w:color w:val="000000"/>
                <w:szCs w:val="21"/>
                <w:highlight w:val="none"/>
                <w:lang w:val="en-US" w:eastAsia="zh-CN"/>
              </w:rPr>
            </w:r>
            <w:r/>
          </w:p>
        </w:tc>
      </w:tr>
      <w:tr>
        <w:trPr>
          <w:trHeight w:val="674"/>
        </w:trPr>
        <w:tc>
          <w:tcPr>
            <w:tcW w:w="862" w:type="dxa"/>
            <w:vAlign w:val="center"/>
            <w:vMerge w:val="continue"/>
            <w:textDirection w:val="lrTb"/>
            <w:noWrap w:val="false"/>
          </w:tcPr>
          <w:p>
            <w:pPr>
              <w:pStyle w:val="1032"/>
              <w:jc w:val="left"/>
              <w:spacing w:line="360" w:lineRule="auto"/>
              <w:shd w:val="clear" w:color="auto" w:fill="ffffff"/>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tc>
        <w:tc>
          <w:tcPr>
            <w:tcW w:w="1404" w:type="dxa"/>
            <w:vAlign w:val="center"/>
            <w:vMerge w:val="continue"/>
            <w:textDirection w:val="lrTb"/>
            <w:noWrap w:val="false"/>
          </w:tcPr>
          <w:p>
            <w:pPr>
              <w:pStyle w:val="1032"/>
              <w:jc w:val="left"/>
              <w:spacing w:line="360" w:lineRule="auto"/>
              <w:shd w:val="clear" w:color="auto" w:fill="ffffff"/>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tc>
        <w:tc>
          <w:tcPr>
            <w:tcW w:w="1793" w:type="dxa"/>
            <w:vAlign w:val="center"/>
            <w:textDirection w:val="lrTb"/>
            <w:noWrap w:val="false"/>
          </w:tcPr>
          <w:p>
            <w:pPr>
              <w:pStyle w:val="1032"/>
              <w:jc w:val="center"/>
              <w:spacing w:line="360" w:lineRule="auto"/>
              <w:shd w:val="clear" w:color="auto" w:fill="ffffff"/>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大写</w:t>
            </w:r>
            <w:r>
              <w:rPr>
                <w:rFonts w:hint="eastAsia" w:ascii="仿宋" w:hAnsi="仿宋" w:eastAsia="仿宋" w:cs="仿宋"/>
                <w:b/>
                <w:color w:val="000000"/>
                <w:szCs w:val="21"/>
                <w:highlight w:val="none"/>
              </w:rPr>
            </w:r>
            <w:r/>
          </w:p>
        </w:tc>
        <w:tc>
          <w:tcPr>
            <w:tcW w:w="1305" w:type="dxa"/>
            <w:vAlign w:val="center"/>
            <w:textDirection w:val="lrTb"/>
            <w:noWrap w:val="false"/>
          </w:tcPr>
          <w:p>
            <w:pPr>
              <w:pStyle w:val="1032"/>
              <w:jc w:val="center"/>
              <w:spacing w:line="360" w:lineRule="auto"/>
              <w:shd w:val="clear" w:color="auto" w:fill="ffffff"/>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小写</w:t>
            </w:r>
            <w:r>
              <w:rPr>
                <w:rFonts w:hint="eastAsia" w:ascii="仿宋" w:hAnsi="仿宋" w:eastAsia="仿宋" w:cs="仿宋"/>
                <w:b/>
                <w:color w:val="000000"/>
                <w:szCs w:val="21"/>
                <w:highlight w:val="none"/>
              </w:rPr>
            </w:r>
            <w:r/>
          </w:p>
        </w:tc>
      </w:tr>
      <w:tr>
        <w:trPr>
          <w:trHeight w:val="976"/>
        </w:trPr>
        <w:tc>
          <w:tcPr>
            <w:tcW w:w="496" w:type="dxa"/>
            <w:vAlign w:val="center"/>
            <w:textDirection w:val="lrTb"/>
            <w:noWrap w:val="false"/>
          </w:tcPr>
          <w:p>
            <w:pPr>
              <w:pStyle w:val="1032"/>
              <w:jc w:val="center"/>
              <w:spacing w:line="360" w:lineRule="auto"/>
              <w:shd w:val="clear" w:color="auto" w:fill="ffffff"/>
              <w:tabs>
                <w:tab w:val="left" w:pos="5580"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lang w:val="en-US" w:eastAsia="zh-CN"/>
              </w:rPr>
            </w:r>
            <w:r/>
          </w:p>
        </w:tc>
        <w:tc>
          <w:tcPr>
            <w:tcW w:w="1404" w:type="dxa"/>
            <w:vAlign w:val="center"/>
            <w:textDirection w:val="lrTb"/>
            <w:noWrap w:val="false"/>
          </w:tcPr>
          <w:p>
            <w:pPr>
              <w:pStyle w:val="1032"/>
              <w:jc w:val="center"/>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 xml:space="preserve">职工食堂委托经营服务</w:t>
            </w:r>
            <w:r>
              <w:rPr>
                <w:rFonts w:hint="eastAsia" w:ascii="仿宋" w:hAnsi="仿宋" w:eastAsia="仿宋" w:cs="仿宋"/>
                <w:color w:val="000000"/>
                <w:szCs w:val="21"/>
                <w:highlight w:val="none"/>
              </w:rPr>
            </w:r>
            <w:r/>
          </w:p>
        </w:tc>
        <w:tc>
          <w:tcPr>
            <w:tcW w:w="1793" w:type="dxa"/>
            <w:vAlign w:val="center"/>
            <w:textDirection w:val="lrTb"/>
            <w:noWrap w:val="false"/>
          </w:tcPr>
          <w:p>
            <w:pPr>
              <w:pStyle w:val="1032"/>
              <w:jc w:val="center"/>
              <w:spacing w:line="360" w:lineRule="auto"/>
              <w:shd w:val="clear" w:color="auto" w:fill="ffffff"/>
              <w:tabs>
                <w:tab w:val="left" w:pos="5580" w:leader="none"/>
              </w:tabs>
              <w:rPr>
                <w:rFonts w:ascii="仿宋" w:hAnsi="仿宋" w:eastAsia="仿宋" w:cs="仿宋"/>
                <w:color w:val="000000"/>
                <w:szCs w:val="21"/>
                <w:highlight w:val="none"/>
                <w:lang w:val="en-US" w:eastAsia="zh-CN"/>
              </w:rPr>
            </w:pPr>
            <w:r>
              <w:rPr>
                <w:rFonts w:ascii="仿宋" w:hAnsi="仿宋" w:eastAsia="仿宋" w:cs="仿宋"/>
                <w:color w:val="000000"/>
                <w:szCs w:val="21"/>
                <w:highlight w:val="none"/>
                <w:lang w:val="en-US" w:eastAsia="zh-CN"/>
              </w:rPr>
            </w:r>
            <w:r/>
          </w:p>
        </w:tc>
        <w:tc>
          <w:tcPr>
            <w:tcW w:w="1305" w:type="dxa"/>
            <w:vAlign w:val="center"/>
            <w:textDirection w:val="lrTb"/>
            <w:noWrap w:val="false"/>
          </w:tcPr>
          <w:p>
            <w:pPr>
              <w:pStyle w:val="1032"/>
              <w:jc w:val="center"/>
              <w:spacing w:line="360" w:lineRule="auto"/>
              <w:shd w:val="clear" w:color="auto" w:fill="ffffff"/>
              <w:tabs>
                <w:tab w:val="left" w:pos="5580" w:leader="none"/>
              </w:tabs>
              <w:rPr>
                <w:rFonts w:ascii="仿宋" w:hAnsi="仿宋" w:eastAsia="仿宋" w:cs="仿宋"/>
                <w:color w:val="000000"/>
                <w:szCs w:val="21"/>
                <w:highlight w:val="none"/>
                <w:lang w:val="en-US" w:eastAsia="zh-CN"/>
              </w:rPr>
            </w:pPr>
            <w:r>
              <w:rPr>
                <w:rFonts w:ascii="仿宋" w:hAnsi="仿宋" w:eastAsia="仿宋" w:cs="仿宋"/>
                <w:color w:val="000000"/>
                <w:szCs w:val="21"/>
                <w:highlight w:val="none"/>
                <w:lang w:val="en-US" w:eastAsia="zh-CN"/>
              </w:rPr>
            </w:r>
            <w:r/>
          </w:p>
        </w:tc>
      </w:tr>
      <w:tr>
        <w:trPr>
          <w:trHeight w:val="976"/>
        </w:trPr>
        <w:tc>
          <w:tcPr>
            <w:gridSpan w:val="2"/>
            <w:tcW w:w="3307" w:type="dxa"/>
            <w:vAlign w:val="center"/>
            <w:textDirection w:val="lrTb"/>
            <w:noWrap w:val="false"/>
          </w:tcPr>
          <w:p>
            <w:pPr>
              <w:pStyle w:val="1032"/>
              <w:jc w:val="center"/>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备注</w:t>
            </w:r>
            <w:r>
              <w:rPr>
                <w:rFonts w:hint="eastAsia" w:ascii="仿宋" w:hAnsi="仿宋" w:eastAsia="仿宋" w:cs="仿宋"/>
                <w:color w:val="000000"/>
                <w:szCs w:val="21"/>
                <w:highlight w:val="none"/>
              </w:rPr>
            </w:r>
            <w:r/>
          </w:p>
        </w:tc>
        <w:tc>
          <w:tcPr>
            <w:gridSpan w:val="2"/>
            <w:tcW w:w="5391" w:type="dxa"/>
            <w:vAlign w:val="center"/>
            <w:textDirection w:val="lrTb"/>
            <w:noWrap w:val="false"/>
          </w:tcPr>
          <w:p>
            <w:pPr>
              <w:pStyle w:val="1032"/>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年度结算金额不得高于45万元，高出部分不予结算。</w:t>
            </w:r>
            <w:r>
              <w:rPr>
                <w:rFonts w:hint="eastAsia" w:ascii="仿宋" w:hAnsi="仿宋" w:eastAsia="仿宋" w:cs="仿宋"/>
                <w:color w:val="000000"/>
                <w:szCs w:val="21"/>
                <w:highlight w:val="none"/>
              </w:rPr>
            </w:r>
            <w:r/>
          </w:p>
        </w:tc>
      </w:tr>
    </w:tbl>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rPr>
      </w:pPr>
      <w:r>
        <w:rPr>
          <w:rFonts w:hint="eastAsia" w:ascii="仿宋" w:hAnsi="仿宋" w:eastAsia="仿宋" w:cs="仿宋"/>
          <w:b/>
          <w:bCs/>
          <w:color w:val="000000"/>
          <w:sz w:val="24"/>
          <w:highlight w:val="none"/>
          <w:u w:val="single"/>
        </w:rPr>
      </w:r>
      <w:r/>
    </w:p>
    <w:p>
      <w:pPr>
        <w:pStyle w:val="1246"/>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color w:val="000000"/>
          <w:highlight w:val="none"/>
        </w:rPr>
      </w:pPr>
      <w:r>
        <w:rPr>
          <w:rFonts w:hint="eastAsia"/>
          <w:color w:val="000000"/>
          <w:highlight w:val="none"/>
        </w:rPr>
      </w:r>
      <w:r/>
    </w:p>
    <w:p>
      <w:pPr>
        <w:pStyle w:val="1032"/>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1032"/>
        <w:jc w:val="left"/>
        <w:spacing w:line="480" w:lineRule="auto"/>
        <w:widowControl/>
        <w:rPr>
          <w:rFonts w:hint="eastAsia" w:ascii="仿宋" w:hAnsi="仿宋" w:eastAsia="仿宋" w:cs="仿宋"/>
          <w:color w:val="000000"/>
          <w:sz w:val="24"/>
          <w:highlight w:val="none"/>
        </w:rPr>
      </w:pPr>
      <w:r/>
      <w:bookmarkStart w:id="885" w:name="_Toc150774763"/>
      <w:r/>
      <w:bookmarkStart w:id="886" w:name="_Toc226337255"/>
      <w:r/>
      <w:bookmarkStart w:id="887" w:name="_Toc264969249"/>
      <w:r/>
      <w:bookmarkStart w:id="888" w:name="_Toc127151558"/>
      <w:r/>
      <w:bookmarkStart w:id="889" w:name="_Toc265228397"/>
      <w:r/>
      <w:bookmarkStart w:id="890" w:name="_Toc226965749"/>
      <w:r/>
      <w:bookmarkStart w:id="891" w:name="_Toc142311060"/>
      <w:r/>
      <w:bookmarkStart w:id="892" w:name="_Toc305158901"/>
      <w:r/>
      <w:bookmarkStart w:id="893" w:name="_Toc195842924"/>
      <w:r/>
      <w:bookmarkStart w:id="894" w:name="_Toc226309803"/>
      <w:r/>
      <w:bookmarkStart w:id="895" w:name="_Toc150480796"/>
      <w:r/>
      <w:bookmarkStart w:id="896" w:name="_Toc226965832"/>
      <w:r/>
      <w:bookmarkStart w:id="897" w:name="_Toc305158827"/>
      <w:r>
        <w:rPr>
          <w:rFonts w:hint="eastAsia" w:ascii="仿宋" w:hAnsi="仿宋" w:eastAsia="仿宋" w:cs="仿宋"/>
          <w:color w:val="000000"/>
          <w:sz w:val="24"/>
          <w:highlight w:val="none"/>
        </w:rPr>
      </w:r>
      <w:r/>
    </w:p>
    <w:p>
      <w:pPr>
        <w:pStyle w:val="1032"/>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2"/>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246"/>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46"/>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jc w:val="left"/>
        <w:spacing w:line="360" w:lineRule="auto"/>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br w:type="page" w:clear="all"/>
      </w:r>
      <w:bookmarkStart w:id="898" w:name="_Hlk109125662"/>
      <w:r>
        <w:rPr>
          <w:rFonts w:hint="eastAsia" w:ascii="仿宋" w:hAnsi="仿宋" w:eastAsia="仿宋" w:cs="仿宋"/>
          <w:b/>
          <w:bCs/>
          <w:color w:val="000000"/>
          <w:sz w:val="28"/>
          <w:szCs w:val="28"/>
          <w:highlight w:val="none"/>
        </w:rPr>
        <w:t xml:space="preserve">投标分项报价表（实质性格式）</w:t>
      </w:r>
      <w:bookmarkEnd w:id="898"/>
      <w:r>
        <w:rPr>
          <w:rFonts w:hint="eastAsia" w:ascii="仿宋" w:hAnsi="仿宋" w:eastAsia="仿宋" w:cs="仿宋"/>
          <w:b/>
          <w:bCs/>
          <w:color w:val="000000"/>
          <w:sz w:val="28"/>
          <w:szCs w:val="28"/>
          <w:highlight w:val="none"/>
        </w:rPr>
      </w:r>
      <w:r/>
    </w:p>
    <w:p>
      <w:pPr>
        <w:pStyle w:val="1032"/>
        <w:jc w:val="center"/>
        <w:spacing w:line="360" w:lineRule="auto"/>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投标分项报价表</w:t>
      </w:r>
      <w:r>
        <w:rPr>
          <w:rFonts w:ascii="仿宋" w:hAnsi="仿宋" w:eastAsia="仿宋" w:cs="仿宋"/>
          <w:b/>
          <w:color w:val="000000"/>
          <w:sz w:val="36"/>
          <w:szCs w:val="36"/>
          <w:highlight w:val="none"/>
        </w:rPr>
      </w:r>
      <w:r/>
    </w:p>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JSZC-320404-SCJX-G2026-0011</w:t>
      </w:r>
      <w:r>
        <w:rPr>
          <w:rFonts w:hint="eastAsia" w:ascii="仿宋" w:hAnsi="仿宋" w:eastAsia="仿宋" w:cs="仿宋"/>
          <w:b/>
          <w:bCs/>
          <w:color w:val="000000"/>
          <w:sz w:val="24"/>
          <w:highlight w:val="none"/>
          <w:u w:val="single"/>
          <w:lang w:eastAsia="zh-CN"/>
        </w:rPr>
      </w:r>
      <w:r/>
    </w:p>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常州市钟楼区五星街道社区卫生服务中心职工食堂委托经营服务（二次）</w:t>
      </w:r>
      <w:r>
        <w:rPr>
          <w:rFonts w:hint="eastAsia" w:ascii="仿宋" w:hAnsi="仿宋" w:eastAsia="仿宋" w:cs="仿宋"/>
          <w:b/>
          <w:bCs/>
          <w:color w:val="000000"/>
          <w:sz w:val="24"/>
          <w:highlight w:val="none"/>
          <w:u w:val="single"/>
          <w:lang w:eastAsia="zh-CN"/>
        </w:rPr>
      </w:r>
      <w:r/>
    </w:p>
    <w:tbl>
      <w:tblPr>
        <w:tblW w:w="10799" w:type="dxa"/>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504"/>
        <w:gridCol w:w="1176"/>
        <w:gridCol w:w="1559"/>
        <w:gridCol w:w="1519"/>
        <w:gridCol w:w="912"/>
        <w:gridCol w:w="1500"/>
        <w:gridCol w:w="1212"/>
        <w:gridCol w:w="2417"/>
      </w:tblGrid>
      <w:tr>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用餐时间</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预估用餐人数（人）</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结算</w:t>
            </w:r>
            <w:r>
              <w:rPr>
                <w:rFonts w:hint="eastAsia" w:ascii="仿宋" w:hAnsi="仿宋" w:eastAsia="仿宋" w:cs="仿宋"/>
                <w:color w:val="000000"/>
                <w:sz w:val="21"/>
                <w:szCs w:val="21"/>
                <w:highlight w:val="none"/>
              </w:rPr>
              <w:t xml:space="preserve">标准</w:t>
            </w:r>
            <w:r>
              <w:rPr>
                <w:rFonts w:hint="eastAsia" w:ascii="仿宋" w:hAnsi="仿宋" w:eastAsia="仿宋" w:cs="仿宋"/>
                <w:color w:val="000000"/>
                <w:sz w:val="21"/>
                <w:szCs w:val="21"/>
                <w:highlight w:val="none"/>
              </w:rPr>
            </w:r>
            <w:r/>
          </w:p>
          <w:p>
            <w:pPr>
              <w:pStyle w:val="1032"/>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（元/人/餐）</w:t>
            </w:r>
            <w:r>
              <w:rPr>
                <w:rFonts w:hint="eastAsia"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优惠率（%)</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菜品</w:t>
            </w:r>
            <w:r>
              <w:rPr>
                <w:rFonts w:hint="eastAsia" w:ascii="仿宋" w:hAnsi="仿宋" w:eastAsia="仿宋" w:cs="仿宋"/>
                <w:color w:val="000000"/>
                <w:sz w:val="21"/>
                <w:szCs w:val="21"/>
                <w:highlight w:val="none"/>
              </w:rPr>
              <w:t xml:space="preserve">标准</w:t>
            </w:r>
            <w:r>
              <w:rPr>
                <w:rFonts w:hint="eastAsia" w:ascii="仿宋" w:hAnsi="仿宋" w:eastAsia="仿宋" w:cs="仿宋"/>
                <w:color w:val="000000"/>
                <w:sz w:val="21"/>
                <w:szCs w:val="21"/>
                <w:highlight w:val="none"/>
              </w:rPr>
            </w:r>
            <w:r/>
          </w:p>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（元/人/餐）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用餐天数</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天/月）</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备注</w:t>
            </w:r>
            <w:r>
              <w:rPr>
                <w:rFonts w:hint="eastAsia" w:ascii="仿宋" w:hAnsi="仿宋" w:eastAsia="仿宋" w:cs="仿宋"/>
                <w:color w:val="000000"/>
                <w:sz w:val="21"/>
                <w:szCs w:val="21"/>
                <w:highlight w:val="none"/>
              </w:rPr>
            </w:r>
            <w:r/>
          </w:p>
        </w:tc>
      </w:tr>
      <w:tr>
        <w:trPr>
          <w:trHeight w:val="516"/>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早餐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30</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对值班职工提供，可对全体职工开放</w:t>
            </w:r>
            <w:r>
              <w:rPr>
                <w:rFonts w:hint="eastAsia" w:ascii="仿宋" w:hAnsi="仿宋" w:eastAsia="仿宋" w:cs="仿宋"/>
                <w:color w:val="000000"/>
                <w:sz w:val="21"/>
                <w:szCs w:val="21"/>
                <w:highlight w:val="none"/>
              </w:rPr>
            </w:r>
            <w:r/>
          </w:p>
        </w:tc>
      </w:tr>
      <w:tr>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中餐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90</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15</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全体职工主要用餐时段</w:t>
            </w:r>
            <w:r>
              <w:rPr>
                <w:rFonts w:hint="eastAsia" w:ascii="仿宋" w:hAnsi="仿宋" w:eastAsia="仿宋" w:cs="仿宋"/>
                <w:color w:val="000000"/>
                <w:sz w:val="21"/>
                <w:szCs w:val="21"/>
                <w:highlight w:val="none"/>
              </w:rPr>
            </w:r>
            <w:r/>
          </w:p>
        </w:tc>
      </w:tr>
      <w:tr>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晚餐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15</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30</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对值班职工提供</w:t>
            </w:r>
            <w:r>
              <w:rPr>
                <w:rFonts w:hint="eastAsia" w:ascii="仿宋" w:hAnsi="仿宋" w:eastAsia="仿宋" w:cs="仿宋"/>
                <w:color w:val="000000"/>
                <w:sz w:val="21"/>
                <w:szCs w:val="21"/>
                <w:highlight w:val="none"/>
              </w:rPr>
            </w:r>
            <w:r/>
          </w:p>
        </w:tc>
      </w:tr>
    </w:tbl>
    <w:p>
      <w:pPr>
        <w:pStyle w:val="1032"/>
        <w:ind w:firstLine="42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2"/>
        <w:ind w:firstLine="42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2"/>
        <w:ind w:firstLine="42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注：</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t xml:space="preserve">如果不提供</w:t>
      </w:r>
      <w:r>
        <w:rPr>
          <w:rFonts w:hint="eastAsia" w:ascii="仿宋" w:hAnsi="仿宋" w:eastAsia="仿宋" w:cs="仿宋"/>
          <w:color w:val="000000"/>
          <w:szCs w:val="21"/>
          <w:highlight w:val="none"/>
          <w:lang w:val="en-US" w:eastAsia="zh-CN"/>
        </w:rPr>
        <w:t xml:space="preserve">分项</w:t>
      </w:r>
      <w:r>
        <w:rPr>
          <w:rFonts w:hint="eastAsia" w:ascii="仿宋" w:hAnsi="仿宋" w:eastAsia="仿宋" w:cs="仿宋"/>
          <w:color w:val="000000"/>
          <w:szCs w:val="21"/>
          <w:highlight w:val="none"/>
        </w:rPr>
        <w:t xml:space="preserve">报价表</w:t>
      </w:r>
      <w:r>
        <w:rPr>
          <w:rFonts w:hint="eastAsia" w:ascii="仿宋" w:hAnsi="仿宋" w:eastAsia="仿宋" w:cs="仿宋"/>
          <w:color w:val="000000"/>
          <w:szCs w:val="21"/>
          <w:highlight w:val="none"/>
          <w:lang w:val="en-US" w:eastAsia="zh-CN"/>
        </w:rPr>
        <w:t xml:space="preserve">或未按要求提供的，将视为没有实质性响应招标文件。</w:t>
      </w:r>
      <w:r>
        <w:rPr>
          <w:rFonts w:hint="eastAsia" w:ascii="仿宋" w:hAnsi="仿宋" w:eastAsia="仿宋" w:cs="仿宋"/>
          <w:color w:val="000000"/>
          <w:szCs w:val="21"/>
          <w:highlight w:val="none"/>
          <w:lang w:val="en-US" w:eastAsia="zh-CN"/>
        </w:rPr>
      </w:r>
      <w:r/>
    </w:p>
    <w:p>
      <w:pPr>
        <w:pStyle w:val="1032"/>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2.本项目以各单餐用餐标准为基数，供应商在响应文件中填报固定优惠率【优惠率应大于0，每餐须按照单餐用餐标准*（1+成交优惠率）（元/人/餐）】的价格提供菜品，最终按照实际就餐次数据实结算。</w:t>
      </w:r>
      <w:r>
        <w:rPr>
          <w:rFonts w:hint="eastAsia" w:ascii="仿宋" w:hAnsi="仿宋" w:eastAsia="仿宋" w:cs="仿宋"/>
          <w:b/>
          <w:bCs/>
          <w:color w:val="000000"/>
          <w:szCs w:val="21"/>
          <w:highlight w:val="none"/>
          <w:lang w:val="en-US" w:eastAsia="zh-CN"/>
        </w:rPr>
      </w:r>
      <w:r/>
    </w:p>
    <w:p>
      <w:pPr>
        <w:pStyle w:val="1032"/>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3.结算价举例：如单餐用餐标准为15元/人/餐，成交优惠率为20%，则成交供应商须按15*（1+20%）=18元/人/餐的标准向采购人提供菜品，实际结算价为15元/人/餐。年度结算金额不得高于45万元，高出部分不予结算。</w:t>
      </w:r>
      <w:r>
        <w:rPr>
          <w:rFonts w:hint="eastAsia" w:ascii="仿宋" w:hAnsi="仿宋" w:eastAsia="仿宋" w:cs="仿宋"/>
          <w:b/>
          <w:bCs/>
          <w:color w:val="000000"/>
          <w:szCs w:val="21"/>
          <w:highlight w:val="none"/>
          <w:lang w:val="en-US" w:eastAsia="zh-CN"/>
        </w:rPr>
      </w:r>
      <w:r/>
    </w:p>
    <w:p>
      <w:pPr>
        <w:pStyle w:val="1032"/>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2"/>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032"/>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法定代表人（或单位负责人）签字或盖章：</w:t>
      </w:r>
      <w:r>
        <w:rPr>
          <w:rFonts w:hint="eastAsia" w:ascii="仿宋" w:hAnsi="仿宋" w:eastAsia="仿宋" w:cs="仿宋"/>
          <w:color w:val="000000"/>
          <w:szCs w:val="21"/>
          <w:highlight w:val="none"/>
        </w:rPr>
      </w:r>
      <w:r/>
    </w:p>
    <w:p>
      <w:pPr>
        <w:pStyle w:val="1402"/>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color w:val="000000"/>
          <w:sz w:val="21"/>
          <w:szCs w:val="21"/>
          <w:highlight w:val="none"/>
        </w:rPr>
      </w:r>
      <w:r/>
    </w:p>
    <w:p>
      <w:pPr>
        <w:pStyle w:val="1032"/>
        <w:jc w:val="left"/>
        <w:spacing w:line="480" w:lineRule="auto"/>
        <w:widowControl/>
        <w:rPr>
          <w:rFonts w:hint="eastAsia" w:ascii="仿宋" w:hAnsi="仿宋" w:eastAsia="仿宋" w:cs="仿宋"/>
          <w:color w:val="000000"/>
          <w:sz w:val="24"/>
          <w:szCs w:val="20"/>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color w:val="000000"/>
          <w:sz w:val="24"/>
          <w:szCs w:val="20"/>
          <w:highlight w:val="none"/>
        </w:rPr>
        <w:t xml:space="preserve">5</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Start w:id="899" w:name="_Toc226309806"/>
      <w:r/>
      <w:bookmarkStart w:id="900" w:name="_Toc226337258"/>
      <w:r/>
      <w:bookmarkStart w:id="901" w:name="_Toc127151562"/>
      <w:r/>
      <w:bookmarkStart w:id="902" w:name="_Toc195842927"/>
      <w:r/>
      <w:bookmarkStart w:id="903" w:name="_Toc150774765"/>
      <w:r/>
      <w:bookmarkStart w:id="904" w:name="_Toc305158904"/>
      <w:r/>
      <w:bookmarkStart w:id="905" w:name="_Toc226965835"/>
      <w:r/>
      <w:bookmarkStart w:id="906" w:name="_Toc265228400"/>
      <w:r/>
      <w:bookmarkStart w:id="907" w:name="_Toc150480798"/>
      <w:r/>
      <w:bookmarkStart w:id="908" w:name="_Toc226965752"/>
      <w:r/>
      <w:bookmarkStart w:id="909" w:name="_Toc305158830"/>
      <w:r/>
      <w:bookmarkStart w:id="910" w:name="_Toc264969252"/>
      <w:r/>
      <w:bookmarkStart w:id="911" w:name="_Toc142311062"/>
      <w:r/>
      <w:bookmarkStart w:id="912" w:name="_Toc127151561"/>
      <w:r/>
      <w:bookmarkStart w:id="913" w:name="_Toc226309805"/>
      <w:r/>
      <w:bookmarkStart w:id="914" w:name="_Toc305158829"/>
      <w:r/>
      <w:bookmarkStart w:id="915" w:name="_Toc226965751"/>
      <w:r/>
      <w:bookmarkStart w:id="916" w:name="_Toc305158903"/>
      <w:r/>
      <w:bookmarkStart w:id="917" w:name="_Toc142311061"/>
      <w:r/>
      <w:bookmarkStart w:id="918" w:name="_Toc195842926"/>
      <w:r/>
      <w:bookmarkStart w:id="919" w:name="_Toc150480797"/>
      <w:r/>
      <w:bookmarkStart w:id="920" w:name="_Toc150774764"/>
      <w:r/>
      <w:bookmarkStart w:id="921" w:name="_Toc265228399"/>
      <w:r/>
      <w:bookmarkStart w:id="922" w:name="_Toc226337257"/>
      <w:r/>
      <w:bookmarkStart w:id="923" w:name="_Toc226965834"/>
      <w:r/>
      <w:bookmarkStart w:id="924" w:name="_Toc264969251"/>
      <w:r>
        <w:rPr>
          <w:rFonts w:hint="eastAsia" w:ascii="仿宋" w:hAnsi="仿宋" w:eastAsia="仿宋" w:cs="仿宋"/>
          <w:color w:val="000000"/>
          <w:sz w:val="24"/>
          <w:szCs w:val="20"/>
          <w:highlight w:val="none"/>
        </w:rPr>
        <w:t xml:space="preserve">合同条款偏离表</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032"/>
        <w:jc w:val="center"/>
        <w:spacing w:line="360" w:lineRule="auto"/>
        <w:tabs>
          <w:tab w:val="left" w:pos="2775" w:leader="none"/>
          <w:tab w:val="center" w:pos="4153"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合同条款偏离表</w:t>
      </w:r>
      <w:r>
        <w:rPr>
          <w:rFonts w:hint="eastAsia" w:ascii="仿宋" w:hAnsi="仿宋" w:eastAsia="仿宋" w:cs="仿宋"/>
          <w:b/>
          <w:color w:val="000000"/>
          <w:sz w:val="36"/>
          <w:szCs w:val="36"/>
          <w:highlight w:val="none"/>
        </w:rPr>
      </w:r>
      <w:r/>
    </w:p>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JSZC-320404-SCJX-G2026-0011</w:t>
      </w:r>
      <w:r>
        <w:rPr>
          <w:rFonts w:hint="eastAsia" w:ascii="仿宋" w:hAnsi="仿宋" w:eastAsia="仿宋" w:cs="仿宋"/>
          <w:b/>
          <w:bCs/>
          <w:color w:val="000000"/>
          <w:sz w:val="24"/>
          <w:highlight w:val="none"/>
          <w:u w:val="single"/>
          <w:lang w:eastAsia="zh-CN"/>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常州市钟楼区五星街道社区卫生服务中心职工食堂委托经营服务（二次）</w:t>
      </w:r>
      <w:r>
        <w:rPr>
          <w:rFonts w:hint="eastAsia" w:ascii="仿宋" w:hAnsi="仿宋" w:eastAsia="仿宋" w:cs="仿宋"/>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32"/>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对本项目合同条款的偏离情况（请进行勾选）：</w:t>
            </w:r>
            <w:r>
              <w:rPr>
                <w:rFonts w:hint="eastAsia" w:ascii="仿宋" w:hAnsi="仿宋" w:eastAsia="仿宋" w:cs="仿宋"/>
                <w:b/>
                <w:color w:val="000000"/>
                <w:sz w:val="24"/>
                <w:highlight w:val="none"/>
              </w:rPr>
            </w:r>
            <w:r/>
          </w:p>
          <w:p>
            <w:pPr>
              <w:pStyle w:val="1032"/>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□无偏离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如无偏离，仅勾选无偏离即可</w:t>
            </w:r>
            <w:r>
              <w:rPr>
                <w:rFonts w:hint="eastAsia" w:ascii="仿宋" w:hAnsi="仿宋" w:eastAsia="仿宋" w:cs="仿宋"/>
                <w:color w:val="000000"/>
                <w:sz w:val="24"/>
                <w:highlight w:val="none"/>
              </w:rPr>
              <w:t xml:space="preserve">）</w:t>
            </w:r>
            <w:r>
              <w:rPr>
                <w:rFonts w:hint="eastAsia" w:ascii="仿宋" w:hAnsi="仿宋" w:eastAsia="仿宋" w:cs="仿宋"/>
                <w:b/>
                <w:color w:val="000000"/>
                <w:sz w:val="24"/>
                <w:highlight w:val="none"/>
              </w:rPr>
            </w:r>
            <w:r/>
          </w:p>
          <w:p>
            <w:pPr>
              <w:pStyle w:val="1032"/>
              <w:jc w:val="lef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□有偏离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如有偏离，</w:t>
            </w:r>
            <w:r>
              <w:rPr>
                <w:rFonts w:hint="eastAsia" w:ascii="仿宋" w:hAnsi="仿宋" w:eastAsia="仿宋" w:cs="仿宋"/>
                <w:color w:val="000000"/>
                <w:sz w:val="24"/>
                <w:highlight w:val="none"/>
              </w:rPr>
              <w:t xml:space="preserve">则应在本表中对偏离项逐一列明）</w:t>
            </w: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301"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招标文件</w:t>
            </w:r>
            <w:r>
              <w:rPr>
                <w:rFonts w:hint="eastAsia" w:ascii="仿宋" w:hAnsi="仿宋" w:eastAsia="仿宋" w:cs="仿宋"/>
                <w:color w:val="000000"/>
                <w:sz w:val="24"/>
                <w:highlight w:val="none"/>
              </w:rPr>
              <w:t xml:space="preserve">条目号（页码）</w:t>
            </w:r>
            <w:r>
              <w:rPr>
                <w:rFonts w:hint="eastAsia" w:ascii="仿宋" w:hAnsi="仿宋" w:eastAsia="仿宋" w:cs="仿宋"/>
                <w:color w:val="000000"/>
                <w:sz w:val="24"/>
                <w:highlight w:val="none"/>
              </w:rPr>
            </w:r>
            <w:r/>
          </w:p>
        </w:tc>
        <w:tc>
          <w:tcPr>
            <w:tcW w:w="2007"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招标文件</w:t>
            </w:r>
            <w:r>
              <w:rPr>
                <w:rFonts w:hint="eastAsia" w:ascii="仿宋" w:hAnsi="仿宋" w:eastAsia="仿宋" w:cs="仿宋"/>
                <w:color w:val="000000"/>
                <w:sz w:val="24"/>
                <w:highlight w:val="none"/>
              </w:rPr>
              <w:t xml:space="preserve">要求</w:t>
            </w:r>
            <w:r>
              <w:rPr>
                <w:rFonts w:hint="eastAsia" w:ascii="仿宋" w:hAnsi="仿宋" w:eastAsia="仿宋" w:cs="仿宋"/>
                <w:color w:val="000000"/>
                <w:sz w:val="24"/>
                <w:highlight w:val="none"/>
              </w:rPr>
            </w:r>
            <w:r/>
          </w:p>
        </w:tc>
        <w:tc>
          <w:tcPr>
            <w:tcW w:w="200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投标文件内容</w:t>
            </w:r>
            <w:r>
              <w:rPr>
                <w:rFonts w:hint="eastAsia" w:ascii="仿宋" w:hAnsi="仿宋" w:eastAsia="仿宋" w:cs="仿宋"/>
                <w:color w:val="000000"/>
                <w:sz w:val="24"/>
                <w:highlight w:val="none"/>
              </w:rPr>
            </w:r>
            <w:r/>
          </w:p>
        </w:tc>
        <w:tc>
          <w:tcPr>
            <w:tcW w:w="245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tc>
        <w:tc>
          <w:tcPr>
            <w:tcW w:w="78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1301"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32"/>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32"/>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对合同条款中的所有要求，除本表所列明的所有偏离外，均视作供应商已对之理解和响应。</w:t>
      </w:r>
      <w:r>
        <w:rPr>
          <w:rFonts w:hint="eastAsia" w:ascii="仿宋" w:hAnsi="仿宋" w:eastAsia="仿宋" w:cs="仿宋"/>
          <w:color w:val="000000"/>
          <w:sz w:val="24"/>
          <w:highlight w:val="none"/>
        </w:rPr>
      </w:r>
      <w:r/>
    </w:p>
    <w:p>
      <w:pPr>
        <w:pStyle w:val="1032"/>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“偏离情况”列应据实填写“正偏离”或“负偏离”。</w:t>
      </w:r>
      <w:r>
        <w:rPr>
          <w:rFonts w:hint="eastAsia" w:ascii="仿宋" w:hAnsi="仿宋" w:eastAsia="仿宋" w:cs="仿宋"/>
          <w:color w:val="000000"/>
          <w:sz w:val="24"/>
          <w:highlight w:val="none"/>
        </w:rPr>
      </w:r>
      <w:r/>
    </w:p>
    <w:p>
      <w:pPr>
        <w:pStyle w:val="1032"/>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6</w:t>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Pr>
          <w:rFonts w:hint="eastAsia" w:ascii="仿宋" w:hAnsi="仿宋" w:eastAsia="仿宋" w:cs="仿宋"/>
          <w:color w:val="000000"/>
          <w:sz w:val="24"/>
          <w:szCs w:val="20"/>
          <w:highlight w:val="none"/>
        </w:rPr>
        <w:t xml:space="preserve">采购需求偏离表（实质性格式）</w:t>
      </w:r>
      <w:r>
        <w:rPr>
          <w:rFonts w:hint="eastAsia" w:ascii="仿宋" w:hAnsi="仿宋" w:eastAsia="仿宋" w:cs="仿宋"/>
          <w:color w:val="000000"/>
          <w:sz w:val="24"/>
          <w:szCs w:val="20"/>
          <w:highlight w:val="none"/>
        </w:rPr>
      </w:r>
      <w:r/>
    </w:p>
    <w:p>
      <w:pPr>
        <w:pStyle w:val="1032"/>
        <w:ind w:firstLine="361"/>
        <w:jc w:val="center"/>
        <w:spacing w:line="360" w:lineRule="auto"/>
        <w:tabs>
          <w:tab w:val="left" w:pos="1800" w:leader="none"/>
          <w:tab w:val="left" w:pos="5580"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采购需求偏离表</w:t>
      </w:r>
      <w:r>
        <w:rPr>
          <w:rFonts w:hint="eastAsia" w:ascii="仿宋" w:hAnsi="仿宋" w:eastAsia="仿宋" w:cs="仿宋"/>
          <w:b/>
          <w:color w:val="000000"/>
          <w:sz w:val="36"/>
          <w:szCs w:val="36"/>
          <w:highlight w:val="none"/>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JSZC-320404-SCJX-G2026-0011</w:t>
      </w:r>
      <w:r>
        <w:rPr>
          <w:rFonts w:hint="eastAsia" w:ascii="仿宋" w:hAnsi="仿宋" w:eastAsia="仿宋" w:cs="仿宋"/>
          <w:color w:val="000000"/>
          <w:sz w:val="24"/>
          <w:highlight w:val="none"/>
          <w:lang w:eastAsia="zh-CN"/>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常州市钟楼区五星街道社区卫生服务中心职工食堂委托经营服务（二次）</w:t>
      </w:r>
      <w:r>
        <w:rPr>
          <w:rFonts w:hint="eastAsia" w:ascii="仿宋" w:hAnsi="仿宋" w:eastAsia="仿宋" w:cs="仿宋"/>
          <w:color w:val="000000"/>
          <w:sz w:val="24"/>
          <w:highlight w:val="non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482"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招标文件条目号(页码)</w:t>
            </w:r>
            <w:r>
              <w:rPr>
                <w:rFonts w:hint="eastAsia" w:ascii="仿宋" w:hAnsi="仿宋" w:eastAsia="仿宋" w:cs="仿宋"/>
                <w:color w:val="000000"/>
                <w:sz w:val="24"/>
                <w:highlight w:val="none"/>
              </w:rPr>
            </w:r>
            <w:r/>
          </w:p>
        </w:tc>
        <w:tc>
          <w:tcPr>
            <w:tcW w:w="238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招标文件要求</w:t>
            </w:r>
            <w:r>
              <w:rPr>
                <w:rFonts w:hint="eastAsia" w:ascii="仿宋" w:hAnsi="仿宋" w:eastAsia="仿宋" w:cs="仿宋"/>
                <w:color w:val="000000"/>
                <w:sz w:val="24"/>
                <w:highlight w:val="none"/>
              </w:rPr>
            </w:r>
            <w:r/>
          </w:p>
        </w:tc>
        <w:tc>
          <w:tcPr>
            <w:tcW w:w="2126"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投标响应内容</w:t>
            </w:r>
            <w:r>
              <w:rPr>
                <w:rFonts w:hint="eastAsia" w:ascii="仿宋" w:hAnsi="仿宋" w:eastAsia="仿宋" w:cs="仿宋"/>
                <w:color w:val="000000"/>
                <w:sz w:val="24"/>
                <w:highlight w:val="none"/>
              </w:rPr>
            </w:r>
            <w:r/>
          </w:p>
        </w:tc>
        <w:tc>
          <w:tcPr>
            <w:tcW w:w="18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tc>
        <w:tc>
          <w:tcPr>
            <w:tcW w:w="1009"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1482"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仿宋" w:hAnsi="仿宋" w:eastAsia="仿宋" w:cs="仿宋"/>
          <w:b/>
          <w:color w:val="000000"/>
          <w:sz w:val="24"/>
          <w:highlight w:val="none"/>
        </w:rPr>
        <w:t xml:space="preserve">投标无效。</w:t>
      </w:r>
      <w:r>
        <w:rPr>
          <w:rFonts w:hint="eastAsia" w:ascii="仿宋" w:hAnsi="仿宋" w:eastAsia="仿宋" w:cs="仿宋"/>
          <w:color w:val="000000"/>
          <w:sz w:val="24"/>
          <w:highlight w:val="none"/>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偏离情况”列应据实填写“正偏离”或“负偏离”、“无偏离”，实质性响应条款负偏离的将作为无效投标处理。其他条款的负偏离根据供应商说明的理由经评标委员会评审后确定是否符合本项目要求，不符合的将作无效投标处理。</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7 项目实施方案等，包括但不限于如下方面以及本招标文件要求的方案文件：</w:t>
      </w:r>
      <w:r>
        <w:rPr>
          <w:rFonts w:hint="eastAsia" w:ascii="仿宋" w:hAnsi="仿宋" w:eastAsia="仿宋" w:cs="仿宋"/>
          <w:color w:val="000000"/>
          <w:sz w:val="24"/>
          <w:szCs w:val="20"/>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整体服务方案</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质量及安全保障方案</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卫生保障方案</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供餐方案</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食品原材料采购管理方案</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应急预案和投诉处理方案</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合理化建议</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增值服务</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w:t>
      </w:r>
      <w:r>
        <w:rPr>
          <w:rFonts w:hint="eastAsia" w:ascii="仿宋" w:hAnsi="仿宋" w:eastAsia="仿宋" w:cs="仿宋"/>
          <w:color w:val="000000"/>
          <w:szCs w:val="21"/>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r>
      <w:r/>
    </w:p>
    <w:p>
      <w:pPr>
        <w:pStyle w:val="1032"/>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8拟派团队人员一览表</w:t>
      </w:r>
      <w:r>
        <w:rPr>
          <w:rFonts w:ascii="仿宋" w:hAnsi="仿宋" w:eastAsia="仿宋" w:cs="仿宋"/>
          <w:color w:val="000000"/>
          <w:sz w:val="24"/>
          <w:szCs w:val="20"/>
          <w:highlight w:val="none"/>
        </w:rPr>
      </w:r>
      <w:r/>
    </w:p>
    <w:p>
      <w:pPr>
        <w:pStyle w:val="1032"/>
        <w:jc w:val="center"/>
        <w:spacing w:line="360"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032"/>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拟派团队人员一览表</w:t>
      </w:r>
      <w:r>
        <w:rPr>
          <w:rFonts w:hint="eastAsia" w:ascii="仿宋" w:hAnsi="仿宋" w:eastAsia="仿宋" w:cs="仿宋"/>
          <w:b/>
          <w:color w:val="000000"/>
          <w:sz w:val="32"/>
          <w:szCs w:val="32"/>
          <w:highlight w:val="none"/>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JSZC-320404-SCJX-G2026-0011</w:t>
      </w:r>
      <w:r>
        <w:rPr>
          <w:rFonts w:hint="eastAsia" w:ascii="仿宋" w:hAnsi="仿宋" w:eastAsia="仿宋" w:cs="仿宋"/>
          <w:color w:val="000000"/>
          <w:sz w:val="24"/>
          <w:highlight w:val="none"/>
          <w:lang w:eastAsia="zh-CN"/>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常州市钟楼区五星街道社区卫生服务中心职工食堂委托经营服务（二次）</w:t>
      </w:r>
      <w:r>
        <w:rPr>
          <w:rFonts w:hint="eastAsia" w:ascii="仿宋" w:hAnsi="仿宋" w:eastAsia="仿宋" w:cs="仿宋"/>
          <w:color w:val="000000"/>
          <w:sz w:val="24"/>
          <w:highlight w:val="none"/>
          <w:lang w:eastAsia="zh-CN"/>
        </w:rPr>
      </w:r>
      <w:r/>
    </w:p>
    <w:p>
      <w:pPr>
        <w:pStyle w:val="1032"/>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tbl>
      <w:tblPr>
        <w:tblW w:w="9775"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175"/>
        <w:gridCol w:w="715"/>
        <w:gridCol w:w="945"/>
        <w:gridCol w:w="945"/>
        <w:gridCol w:w="945"/>
        <w:gridCol w:w="1270"/>
      </w:tblGrid>
      <w:tr>
        <w:trPr/>
        <w:tc>
          <w:tcPr>
            <w:tcW w:w="94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bookmarkStart w:id="925" w:name="_Hlk171312946"/>
            <w:r>
              <w:rPr>
                <w:rFonts w:hint="eastAsia" w:ascii="仿宋" w:hAnsi="仿宋" w:eastAsia="仿宋" w:cs="宋体"/>
                <w:color w:val="000000"/>
                <w:szCs w:val="21"/>
                <w:highlight w:val="none"/>
              </w:rPr>
              <w:t xml:space="preserve">序号</w:t>
            </w:r>
            <w:r>
              <w:rPr>
                <w:rFonts w:ascii="仿宋" w:hAnsi="仿宋" w:eastAsia="仿宋" w:cs="宋体"/>
                <w:color w:val="000000"/>
                <w:szCs w:val="21"/>
                <w:highlight w:val="none"/>
              </w:rPr>
            </w:r>
            <w:r/>
          </w:p>
        </w:tc>
        <w:tc>
          <w:tcPr>
            <w:tcW w:w="94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姓名</w:t>
            </w:r>
            <w:r>
              <w:rPr>
                <w:rFonts w:ascii="仿宋" w:hAnsi="仿宋" w:eastAsia="仿宋" w:cs="宋体"/>
                <w:color w:val="000000"/>
                <w:szCs w:val="21"/>
                <w:highlight w:val="none"/>
              </w:rPr>
            </w:r>
            <w:r/>
          </w:p>
        </w:tc>
        <w:tc>
          <w:tcPr>
            <w:tcW w:w="94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性别</w:t>
            </w:r>
            <w:r>
              <w:rPr>
                <w:rFonts w:ascii="仿宋" w:hAnsi="仿宋" w:eastAsia="仿宋" w:cs="宋体"/>
                <w:color w:val="000000"/>
                <w:szCs w:val="21"/>
                <w:highlight w:val="none"/>
              </w:rPr>
            </w:r>
            <w:r/>
          </w:p>
        </w:tc>
        <w:tc>
          <w:tcPr>
            <w:tcW w:w="94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年龄</w:t>
            </w:r>
            <w:r>
              <w:rPr>
                <w:rFonts w:ascii="仿宋" w:hAnsi="仿宋" w:eastAsia="仿宋" w:cs="宋体"/>
                <w:color w:val="000000"/>
                <w:szCs w:val="21"/>
                <w:highlight w:val="none"/>
              </w:rPr>
            </w:r>
            <w:r/>
          </w:p>
        </w:tc>
        <w:tc>
          <w:tcPr>
            <w:tcW w:w="117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毕业学校和学历</w:t>
            </w:r>
            <w:r>
              <w:rPr>
                <w:rFonts w:ascii="仿宋" w:hAnsi="仿宋" w:eastAsia="仿宋" w:cs="宋体"/>
                <w:color w:val="000000"/>
                <w:szCs w:val="21"/>
                <w:highlight w:val="none"/>
              </w:rPr>
            </w:r>
            <w:r/>
          </w:p>
        </w:tc>
        <w:tc>
          <w:tcPr>
            <w:tcW w:w="71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专业</w:t>
            </w:r>
            <w:r>
              <w:rPr>
                <w:rFonts w:ascii="仿宋" w:hAnsi="仿宋" w:eastAsia="仿宋" w:cs="宋体"/>
                <w:color w:val="000000"/>
                <w:szCs w:val="21"/>
                <w:highlight w:val="none"/>
              </w:rPr>
            </w:r>
            <w:r/>
          </w:p>
        </w:tc>
        <w:tc>
          <w:tcPr>
            <w:tcW w:w="94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职称</w:t>
            </w:r>
            <w:r>
              <w:rPr>
                <w:rFonts w:ascii="仿宋" w:hAnsi="仿宋" w:eastAsia="仿宋" w:cs="宋体"/>
                <w:color w:val="000000"/>
                <w:szCs w:val="21"/>
                <w:highlight w:val="none"/>
              </w:rPr>
            </w:r>
            <w:r/>
          </w:p>
        </w:tc>
        <w:tc>
          <w:tcPr>
            <w:tcW w:w="94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专业培训及证书</w:t>
            </w:r>
            <w:r>
              <w:rPr>
                <w:rFonts w:ascii="仿宋" w:hAnsi="仿宋" w:eastAsia="仿宋" w:cs="宋体"/>
                <w:color w:val="000000"/>
                <w:szCs w:val="21"/>
                <w:highlight w:val="none"/>
              </w:rPr>
            </w:r>
            <w:r/>
          </w:p>
        </w:tc>
        <w:tc>
          <w:tcPr>
            <w:tcW w:w="94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责任</w:t>
            </w:r>
            <w:r>
              <w:rPr>
                <w:rFonts w:ascii="仿宋" w:hAnsi="仿宋" w:eastAsia="仿宋" w:cs="宋体"/>
                <w:color w:val="000000"/>
                <w:szCs w:val="21"/>
                <w:highlight w:val="none"/>
              </w:rPr>
            </w:r>
            <w:r/>
          </w:p>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或分工</w:t>
            </w:r>
            <w:r>
              <w:rPr>
                <w:rFonts w:ascii="仿宋" w:hAnsi="仿宋" w:eastAsia="仿宋" w:cs="宋体"/>
                <w:color w:val="000000"/>
                <w:szCs w:val="21"/>
                <w:highlight w:val="none"/>
              </w:rPr>
            </w:r>
            <w:r/>
          </w:p>
        </w:tc>
        <w:tc>
          <w:tcPr>
            <w:tcW w:w="1270"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项目经历或主要工作</w:t>
            </w:r>
            <w:r>
              <w:rPr>
                <w:rFonts w:ascii="仿宋" w:hAnsi="仿宋" w:eastAsia="仿宋" w:cs="宋体"/>
                <w:color w:val="000000"/>
                <w:szCs w:val="21"/>
                <w:highlight w:val="none"/>
              </w:rPr>
            </w:r>
            <w:r/>
          </w:p>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业绩</w:t>
            </w:r>
            <w:r>
              <w:rPr>
                <w:rFonts w:ascii="仿宋" w:hAnsi="仿宋" w:eastAsia="仿宋" w:cs="宋体"/>
                <w:color w:val="000000"/>
                <w:szCs w:val="21"/>
                <w:highlight w:val="none"/>
              </w:rPr>
            </w:r>
            <w:r/>
          </w:p>
        </w:tc>
      </w:tr>
      <w:tr>
        <w:trPr/>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17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71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270"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r>
      <w:tr>
        <w:trPr/>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17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71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270"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r>
      <w:tr>
        <w:trPr/>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17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71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270"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17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71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270"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17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71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270"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17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71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270"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r>
    </w:tbl>
    <w:p>
      <w:pPr>
        <w:pStyle w:val="1032"/>
        <w:tabs>
          <w:tab w:val="left" w:pos="9765" w:leader="none"/>
        </w:tabs>
        <w:rPr>
          <w:rFonts w:hint="eastAsia" w:ascii="仿宋" w:hAnsi="仿宋" w:eastAsia="仿宋" w:cs="仿宋"/>
          <w:b/>
          <w:color w:val="000000"/>
          <w:sz w:val="24"/>
          <w:highlight w:val="none"/>
          <w:lang w:val="zh-CN"/>
        </w:rPr>
      </w:pPr>
      <w:r/>
      <w:bookmarkEnd w:id="925"/>
      <w:r>
        <w:rPr>
          <w:rFonts w:hint="eastAsia" w:ascii="仿宋" w:hAnsi="仿宋" w:eastAsia="仿宋" w:cs="仿宋"/>
          <w:b/>
          <w:color w:val="000000"/>
          <w:sz w:val="24"/>
          <w:highlight w:val="none"/>
          <w:lang w:val="zh-CN"/>
        </w:rPr>
      </w:r>
      <w:r/>
    </w:p>
    <w:p>
      <w:pPr>
        <w:pStyle w:val="1032"/>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1032"/>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1032"/>
        <w:ind w:firstLine="482"/>
        <w:spacing w:line="360" w:lineRule="auto"/>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t xml:space="preserve">注：</w:t>
      </w:r>
      <w:r>
        <w:rPr>
          <w:rFonts w:hint="eastAsia" w:ascii="仿宋" w:hAnsi="仿宋" w:eastAsia="仿宋" w:cs="仿宋"/>
          <w:b/>
          <w:color w:val="000000"/>
          <w:sz w:val="24"/>
          <w:highlight w:val="none"/>
          <w:lang w:val="zh-CN"/>
        </w:rPr>
      </w:r>
      <w:r/>
    </w:p>
    <w:p>
      <w:pPr>
        <w:pStyle w:val="1032"/>
        <w:ind w:firstLine="482"/>
        <w:spacing w:line="360" w:lineRule="auto"/>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t xml:space="preserve">明确一名项目负责人且须是</w:t>
      </w:r>
      <w:r>
        <w:rPr>
          <w:rFonts w:hint="eastAsia" w:ascii="仿宋" w:hAnsi="仿宋" w:eastAsia="仿宋" w:cs="仿宋"/>
          <w:b/>
          <w:color w:val="000000"/>
          <w:sz w:val="24"/>
          <w:highlight w:val="none"/>
        </w:rPr>
        <w:t xml:space="preserve">供应商</w:t>
      </w:r>
      <w:r>
        <w:rPr>
          <w:rFonts w:hint="eastAsia" w:ascii="仿宋" w:hAnsi="仿宋" w:eastAsia="仿宋" w:cs="仿宋"/>
          <w:b/>
          <w:color w:val="000000"/>
          <w:sz w:val="24"/>
          <w:highlight w:val="none"/>
          <w:lang w:val="zh-CN"/>
        </w:rPr>
        <w:t xml:space="preserve">正式职工，提供社保机构出具的供应商为</w:t>
      </w:r>
      <w:r>
        <w:rPr>
          <w:rFonts w:hint="eastAsia" w:ascii="仿宋" w:hAnsi="仿宋" w:eastAsia="仿宋" w:cs="仿宋"/>
          <w:b/>
          <w:color w:val="000000"/>
          <w:sz w:val="24"/>
          <w:highlight w:val="none"/>
        </w:rPr>
        <w:t xml:space="preserve">该</w:t>
      </w:r>
      <w:r>
        <w:rPr>
          <w:rFonts w:hint="eastAsia" w:ascii="仿宋" w:hAnsi="仿宋" w:eastAsia="仿宋" w:cs="仿宋"/>
          <w:b/>
          <w:color w:val="000000"/>
          <w:sz w:val="24"/>
          <w:highlight w:val="none"/>
          <w:lang w:val="zh-CN"/>
        </w:rPr>
        <w:t xml:space="preserve">员工缴纳的</w:t>
      </w:r>
      <w:r>
        <w:rPr>
          <w:rFonts w:hint="eastAsia" w:ascii="仿宋" w:hAnsi="仿宋" w:eastAsia="仿宋" w:cs="仿宋"/>
          <w:b/>
          <w:color w:val="000000"/>
          <w:sz w:val="24"/>
          <w:highlight w:val="none"/>
        </w:rPr>
        <w:t xml:space="preserve">近六个月内任意一个月的</w:t>
      </w:r>
      <w:r>
        <w:rPr>
          <w:rFonts w:hint="eastAsia" w:ascii="仿宋" w:hAnsi="仿宋" w:eastAsia="仿宋" w:cs="仿宋"/>
          <w:b/>
          <w:color w:val="000000"/>
          <w:sz w:val="24"/>
          <w:highlight w:val="none"/>
          <w:lang w:val="zh-CN"/>
        </w:rPr>
        <w:t xml:space="preserve">社保证明材料复印件加盖供应商公章。</w:t>
      </w:r>
      <w:r>
        <w:rPr>
          <w:rFonts w:hint="eastAsia" w:ascii="仿宋" w:hAnsi="仿宋" w:eastAsia="仿宋" w:cs="仿宋"/>
          <w:b/>
          <w:color w:val="000000"/>
          <w:sz w:val="24"/>
          <w:highlight w:val="none"/>
          <w:lang w:val="zh-CN"/>
        </w:rPr>
      </w:r>
      <w:r/>
    </w:p>
    <w:p>
      <w:pPr>
        <w:pStyle w:val="1032"/>
        <w:ind w:firstLine="482"/>
        <w:spacing w:line="360" w:lineRule="auto"/>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32"/>
        <w:rPr>
          <w:rFonts w:hint="eastAsia" w:ascii="仿宋" w:hAnsi="仿宋" w:eastAsia="仿宋" w:cs="仿宋"/>
          <w:color w:val="000000"/>
          <w:sz w:val="24"/>
          <w:szCs w:val="20"/>
          <w:highlight w:val="none"/>
        </w:rPr>
      </w:pPr>
      <w:r>
        <w:rPr>
          <w:rFonts w:hint="eastAsia" w:ascii="仿宋" w:hAnsi="仿宋" w:eastAsia="仿宋" w:cs="仿宋"/>
          <w:color w:val="000000"/>
          <w:sz w:val="22"/>
          <w:highlight w:val="none"/>
        </w:rPr>
        <w:br w:type="page" w:clear="all"/>
      </w:r>
      <w:bookmarkStart w:id="926" w:name="_Toc288738839"/>
      <w:r/>
      <w:bookmarkStart w:id="927" w:name="_Toc288738397"/>
      <w:r>
        <w:rPr>
          <w:rFonts w:hint="eastAsia" w:ascii="仿宋" w:hAnsi="仿宋" w:eastAsia="仿宋" w:cs="仿宋"/>
          <w:color w:val="000000"/>
          <w:sz w:val="24"/>
          <w:szCs w:val="20"/>
          <w:highlight w:val="none"/>
        </w:rPr>
        <w:t xml:space="preserve">9相关业绩案例一览表</w:t>
      </w:r>
      <w:r>
        <w:rPr>
          <w:rFonts w:hint="eastAsia" w:ascii="仿宋" w:hAnsi="仿宋" w:eastAsia="仿宋" w:cs="仿宋"/>
          <w:color w:val="000000"/>
          <w:sz w:val="24"/>
          <w:szCs w:val="20"/>
          <w:highlight w:val="none"/>
        </w:rPr>
      </w:r>
      <w:r/>
    </w:p>
    <w:p>
      <w:pPr>
        <w:pStyle w:val="1032"/>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相关业绩案例一览表</w:t>
      </w:r>
      <w:bookmarkEnd w:id="926"/>
      <w:r/>
      <w:bookmarkEnd w:id="927"/>
      <w:r>
        <w:rPr>
          <w:rFonts w:hint="eastAsia" w:ascii="仿宋" w:hAnsi="仿宋" w:eastAsia="仿宋" w:cs="仿宋"/>
          <w:b/>
          <w:color w:val="000000"/>
          <w:sz w:val="32"/>
          <w:szCs w:val="32"/>
          <w:highlight w:val="none"/>
        </w:rPr>
      </w:r>
      <w:r/>
    </w:p>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JSZC-320404-SCJX-G2026-0011</w:t>
      </w:r>
      <w:r>
        <w:rPr>
          <w:rFonts w:hint="eastAsia" w:ascii="仿宋" w:hAnsi="仿宋" w:eastAsia="仿宋" w:cs="仿宋"/>
          <w:b/>
          <w:bCs/>
          <w:color w:val="000000"/>
          <w:sz w:val="24"/>
          <w:highlight w:val="none"/>
          <w:u w:val="single"/>
          <w:lang w:eastAsia="zh-CN"/>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常州市钟楼区五星街道社区卫生服务中心职工食堂委托经营服务（二次）</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tbl>
      <w:tblPr>
        <w:tblW w:w="498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50"/>
        <w:gridCol w:w="1701"/>
        <w:gridCol w:w="1430"/>
        <w:gridCol w:w="2422"/>
        <w:gridCol w:w="1613"/>
        <w:gridCol w:w="900"/>
      </w:tblGrid>
      <w:tr>
        <w:trPr>
          <w:trHeight w:val="498"/>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合同签订</w:t>
            </w:r>
            <w:r>
              <w:rPr>
                <w:rFonts w:hint="eastAsia" w:ascii="仿宋" w:hAnsi="仿宋" w:eastAsia="仿宋" w:cs="仿宋"/>
                <w:color w:val="000000"/>
                <w:sz w:val="24"/>
                <w:highlight w:val="none"/>
                <w:lang w:val="zh-CN"/>
              </w:rPr>
              <w:t xml:space="preserve">时间</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项目甲方单位</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项目名称</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合同金额（</w:t>
            </w:r>
            <w:r>
              <w:rPr>
                <w:rFonts w:hint="eastAsia" w:ascii="仿宋" w:hAnsi="仿宋" w:eastAsia="仿宋" w:cs="仿宋"/>
                <w:color w:val="000000"/>
                <w:sz w:val="24"/>
                <w:highlight w:val="none"/>
              </w:rPr>
              <w:t xml:space="preserve">元）</w:t>
            </w: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联系人</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备注</w:t>
            </w:r>
            <w:r>
              <w:rPr>
                <w:rFonts w:hint="eastAsia" w:ascii="仿宋" w:hAnsi="仿宋" w:eastAsia="仿宋" w:cs="仿宋"/>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032"/>
              <w:ind w:hanging="52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032"/>
              <w:ind w:hanging="52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32"/>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103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1</w:t>
      </w:r>
      <w:r>
        <w:rPr>
          <w:rFonts w:hint="eastAsia" w:ascii="仿宋" w:hAnsi="仿宋" w:eastAsia="仿宋" w:cs="仿宋"/>
          <w:color w:val="000000"/>
          <w:sz w:val="24"/>
          <w:szCs w:val="20"/>
          <w:highlight w:val="none"/>
          <w:lang w:val="en-US" w:eastAsia="zh-CN"/>
        </w:rPr>
        <w:t xml:space="preserve">0</w:t>
      </w:r>
      <w:r>
        <w:rPr>
          <w:rFonts w:hint="eastAsia" w:ascii="仿宋" w:hAnsi="仿宋" w:eastAsia="仿宋" w:cs="仿宋"/>
          <w:color w:val="000000"/>
          <w:sz w:val="24"/>
          <w:szCs w:val="20"/>
          <w:highlight w:val="none"/>
        </w:rPr>
        <w:t xml:space="preserve">招标文件要求提供或供应商认为应附的其他材料</w:t>
      </w:r>
      <w:r>
        <w:rPr>
          <w:rFonts w:hint="eastAsia" w:ascii="仿宋" w:hAnsi="仿宋" w:eastAsia="仿宋" w:cs="仿宋"/>
          <w:color w:val="000000"/>
          <w:sz w:val="24"/>
          <w:szCs w:val="20"/>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83"/>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83"/>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sectPr>
      <w:headerReference w:type="default" r:id="rId15"/>
      <w:headerReference w:type="even" r:id="rId16"/>
      <w:headerReference w:type="first" r:id="rId17"/>
      <w:footerReference w:type="default" r:id="rId24"/>
      <w:footerReference w:type="even" r:id="rId25"/>
      <w:footerReference w:type="first" r:id="rId26"/>
      <w:footnotePr/>
      <w:endnotePr/>
      <w:type w:val="nextPage"/>
      <w:pgSz w:w="11907" w:h="16840" w:orient="portrait"/>
      <w:pgMar w:top="1440" w:right="1134" w:bottom="1440"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华文楷体">
    <w:panose1 w:val="02010600040101010101"/>
  </w:font>
  <w:font w:name="方正小标宋简体">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PingFang SC">
    <w:panose1 w:val="020B0503020202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ind w:right="360"/>
      <w:tabs>
        <w:tab w:val="center" w:pos="4153" w:leader="none"/>
        <w:tab w:val="right" w:pos="8306" w:leader="none"/>
      </w:tabs>
      <w:rPr>
        <w:rStyle w:val="1288"/>
      </w:rPr>
    </w:pPr>
    <w:r>
      <w:rPr>
        <w:rStyle w:val="1288"/>
      </w:rPr>
    </w:r>
    <w:r/>
  </w:p>
  <w:p>
    <w:pPr>
      <w:pStyle w:val="1263"/>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tabs>
        <w:tab w:val="center" w:pos="4153" w:leader="none"/>
        <w:tab w:val="right" w:pos="8306" w:leader="none"/>
      </w:tabs>
      <w:rPr>
        <w:rStyle w:val="1288"/>
      </w:rPr>
      <w:framePr w:wrap="around" w:vAnchor="text" w:hAnchor="margin" w:xAlign="center" w:y="1"/>
    </w:pPr>
    <w:r>
      <w:fldChar w:fldCharType="begin"/>
    </w:r>
    <w:r>
      <w:rPr>
        <w:rStyle w:val="1288"/>
      </w:rPr>
      <w:instrText xml:space="preserve">PAGE  </w:instrText>
    </w:r>
    <w:r>
      <w:fldChar w:fldCharType="end"/>
    </w:r>
    <w:r>
      <w:rPr>
        <w:rStyle w:val="1288"/>
      </w:rPr>
    </w:r>
    <w:r/>
  </w:p>
  <w:p>
    <w:pPr>
      <w:pStyle w:val="126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2"/>
                          </w:pPr>
                          <w:r/>
                          <w:r/>
                        </w:p>
                        <w:p>
                          <w:pPr>
                            <w:pStyle w:val="1032"/>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2"/>
                    </w:pPr>
                    <w:r/>
                    <w:r/>
                  </w:p>
                  <w:p>
                    <w:pPr>
                      <w:pStyle w:val="103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tabs>
        <w:tab w:val="center" w:pos="4153" w:leader="none"/>
        <w:tab w:val="right" w:pos="8306" w:leader="none"/>
      </w:tabs>
      <w:rPr>
        <w:rStyle w:val="1288"/>
      </w:rPr>
      <w:framePr w:wrap="around" w:vAnchor="text" w:hAnchor="margin" w:xAlign="right" w:y="1"/>
    </w:pPr>
    <w:r>
      <w:rPr>
        <w:rStyle w:val="1288"/>
      </w:rPr>
      <w:fldChar w:fldCharType="begin"/>
    </w:r>
    <w:r>
      <w:rPr>
        <w:rStyle w:val="1288"/>
      </w:rPr>
      <w:instrText xml:space="preserve">PAGE  </w:instrText>
    </w:r>
    <w:r>
      <w:rPr>
        <w:rStyle w:val="1288"/>
      </w:rPr>
      <w:fldChar w:fldCharType="end"/>
    </w:r>
    <w:r>
      <w:rPr>
        <w:rStyle w:val="1288"/>
      </w:rPr>
    </w:r>
    <w:r/>
  </w:p>
  <w:p>
    <w:pPr>
      <w:pStyle w:val="1263"/>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2"/>
                          </w:pPr>
                          <w:r/>
                          <w:r/>
                        </w:p>
                        <w:p>
                          <w:pPr>
                            <w:pStyle w:val="1032"/>
                          </w:pPr>
                          <w:r/>
                          <w:r/>
                        </w:p>
                      </w:txbxContent>
                    </wps:txbx>
                    <wps:bodyPr wrap="none" lIns="0" tIns="0" rIns="0" bIns="0" upright="1">
                      <a:spAutoFit/>
                    </wps:bodyPr>
                  </wps:wsp>
                </a:graphicData>
              </a:graphic>
            </wp:anchor>
          </w:drawing>
        </mc:Choice>
        <mc:Fallback>
          <w:pict>
            <v:shape id="shape 6" o:spid="_x0000_s6"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2"/>
                    </w:pPr>
                    <w:r/>
                    <w:r/>
                  </w:p>
                  <w:p>
                    <w:pPr>
                      <w:pStyle w:val="1032"/>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tabs>
        <w:tab w:val="center" w:pos="4153" w:leader="none"/>
        <w:tab w:val="right" w:pos="8306" w:leader="none"/>
      </w:tabs>
      <w:rPr>
        <w:rStyle w:val="1288"/>
      </w:rPr>
      <w:framePr w:wrap="around" w:vAnchor="text" w:hAnchor="margin" w:xAlign="right" w:y="1"/>
    </w:pPr>
    <w:r>
      <w:rPr>
        <w:rStyle w:val="1288"/>
      </w:rPr>
      <w:fldChar w:fldCharType="begin"/>
    </w:r>
    <w:r>
      <w:rPr>
        <w:rStyle w:val="1288"/>
      </w:rPr>
      <w:instrText xml:space="preserve">PAGE  </w:instrText>
    </w:r>
    <w:r>
      <w:rPr>
        <w:rStyle w:val="1288"/>
      </w:rPr>
      <w:fldChar w:fldCharType="end"/>
    </w:r>
    <w:r>
      <w:rPr>
        <w:rStyle w:val="1288"/>
      </w:rPr>
    </w:r>
    <w:r/>
  </w:p>
  <w:p>
    <w:pPr>
      <w:pStyle w:val="1263"/>
      <w:ind w:right="360"/>
      <w:tabs>
        <w:tab w:val="center" w:pos="4153" w:leader="none"/>
        <w:tab w:val="right" w:pos="8306" w:leader="none"/>
      </w:tabs>
    </w:pPr>
    <w:r/>
    <w:r/>
  </w:p>
  <w:p>
    <w:pPr>
      <w:pStyle w:val="103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20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left"/>
      <w:tabs>
        <w:tab w:val="center" w:pos="4153" w:leader="none"/>
        <w:tab w:val="right" w:pos="8306" w:leader="none"/>
      </w:tabs>
      <w:rPr>
        <w:rFonts w:hint="eastAsia"/>
      </w:rPr>
    </w:pPr>
    <w:r>
      <mc:AlternateContent>
        <mc:Choice Requires="wpg">
          <w:drawing>
            <wp:inline xmlns:wp="http://schemas.openxmlformats.org/drawingml/2006/wordprocessingDrawing" distT="0" distB="0" distL="0" distR="0">
              <wp:extent cx="1508760" cy="24320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ascii="仿宋" w:hAnsi="仿宋" w:eastAsia="仿宋"/>
        <w:sz w:val="21"/>
        <w:szCs w:val="21"/>
      </w:rPr>
      <w:t xml:space="preserve">公开招标文件</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2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sz w:val="21"/>
        <w:szCs w:val="21"/>
      </w:rPr>
      <w:t xml:space="preserve">公开招标文件</w:t>
    </w:r>
    <w:r>
      <w:rPr>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left"/>
      <w:tabs>
        <w:tab w:val="center" w:pos="4153" w:leader="none"/>
        <w:tab w:val="right" w:pos="8306" w:leader="none"/>
      </w:tabs>
    </w:pPr>
    <w:r>
      <mc:AlternateContent>
        <mc:Choice Requires="wpg">
          <w:drawing>
            <wp:inline xmlns:wp="http://schemas.openxmlformats.org/drawingml/2006/wordprocessingDrawing" distT="0" distB="0" distL="0" distR="0">
              <wp:extent cx="1508760" cy="24320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8.8pt;height:19.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仿宋" w:hAnsi="仿宋" w:eastAsia="仿宋" w:cs="仿宋"/>
        <w:sz w:val="21"/>
        <w:szCs w:val="21"/>
      </w:rPr>
      <w:t xml:space="preserve">公开招标文件</w:t>
    </w:r>
    <w:r>
      <w:rPr>
        <w:rFonts w:hint="eastAsia"/>
      </w:rPr>
      <w:t xml:space="preserve">         </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20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rPr>
      <w:t xml:space="preserve">      </w:t>
    </w:r>
    <w:r>
      <w:rPr>
        <w:rFonts w:hint="eastAsia" w:ascii="仿宋" w:hAnsi="仿宋" w:eastAsia="仿宋" w:cs="仿宋"/>
        <w:sz w:val="21"/>
        <w:szCs w:val="21"/>
      </w:rPr>
      <w:t xml:space="preserve">公开招标文件</w:t>
    </w:r>
    <w:r>
      <w:rPr>
        <w:sz w:val="21"/>
        <w:szCs w:val="21"/>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tabs>
        <w:tab w:val="center" w:pos="4153" w:leader="none"/>
        <w:tab w:val="right" w:pos="8306" w:leader="none"/>
      </w:tabs>
    </w:pPr>
    <w:r/>
    <w:r/>
  </w:p>
  <w:p>
    <w:pPr>
      <w:pStyle w:val="1032"/>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77"/>
      <w:isLgl w:val="false"/>
      <w:suff w:val="tab"/>
      <w:lvlText w:val="%1."/>
      <w:lvlJc w:val="left"/>
      <w:pPr>
        <w:pStyle w:val="1032"/>
        <w:ind w:left="360" w:hanging="360"/>
        <w:tabs>
          <w:tab w:val="num" w:pos="360" w:leader="none"/>
        </w:tabs>
      </w:pPr>
    </w:lvl>
    <w:lvl w:ilvl="1">
      <w:start w:val="1"/>
      <w:numFmt w:val="bullet"/>
      <w:isLgl w:val="false"/>
      <w:suff w:val="tab"/>
      <w:lvlText w:val="o"/>
      <w:lvlJc w:val="left"/>
      <w:pPr>
        <w:pStyle w:val="1032"/>
        <w:ind w:left="1440" w:hanging="360"/>
      </w:pPr>
      <w:rPr>
        <w:rFonts w:ascii="Courier New" w:hAnsi="Courier New" w:eastAsia="Courier New" w:cs="Courier New"/>
      </w:rPr>
    </w:lvl>
    <w:lvl w:ilvl="2">
      <w:start w:val="1"/>
      <w:numFmt w:val="bullet"/>
      <w:isLgl w:val="false"/>
      <w:suff w:val="tab"/>
      <w:lvlText w:val="§"/>
      <w:lvlJc w:val="left"/>
      <w:pPr>
        <w:pStyle w:val="1032"/>
        <w:ind w:left="2160" w:hanging="360"/>
      </w:pPr>
      <w:rPr>
        <w:rFonts w:ascii="Wingdings" w:hAnsi="Wingdings" w:eastAsia="Wingdings" w:cs="Wingdings"/>
      </w:rPr>
    </w:lvl>
    <w:lvl w:ilvl="3">
      <w:start w:val="1"/>
      <w:numFmt w:val="bullet"/>
      <w:isLgl w:val="false"/>
      <w:suff w:val="tab"/>
      <w:lvlText w:val="·"/>
      <w:lvlJc w:val="left"/>
      <w:pPr>
        <w:pStyle w:val="1032"/>
        <w:ind w:left="2880" w:hanging="360"/>
      </w:pPr>
      <w:rPr>
        <w:rFonts w:ascii="Symbol" w:hAnsi="Symbol" w:eastAsia="Symbol" w:cs="Symbol"/>
      </w:rPr>
    </w:lvl>
    <w:lvl w:ilvl="4">
      <w:start w:val="1"/>
      <w:numFmt w:val="bullet"/>
      <w:isLgl w:val="false"/>
      <w:suff w:val="tab"/>
      <w:lvlText w:val="o"/>
      <w:lvlJc w:val="left"/>
      <w:pPr>
        <w:pStyle w:val="1032"/>
        <w:ind w:left="3600" w:hanging="360"/>
      </w:pPr>
      <w:rPr>
        <w:rFonts w:ascii="Courier New" w:hAnsi="Courier New" w:eastAsia="Courier New" w:cs="Courier New"/>
      </w:rPr>
    </w:lvl>
    <w:lvl w:ilvl="5">
      <w:start w:val="1"/>
      <w:numFmt w:val="bullet"/>
      <w:isLgl w:val="false"/>
      <w:suff w:val="tab"/>
      <w:lvlText w:val="§"/>
      <w:lvlJc w:val="left"/>
      <w:pPr>
        <w:pStyle w:val="1032"/>
        <w:ind w:left="4320" w:hanging="360"/>
      </w:pPr>
      <w:rPr>
        <w:rFonts w:ascii="Wingdings" w:hAnsi="Wingdings" w:eastAsia="Wingdings" w:cs="Wingdings"/>
      </w:rPr>
    </w:lvl>
    <w:lvl w:ilvl="6">
      <w:start w:val="1"/>
      <w:numFmt w:val="bullet"/>
      <w:isLgl w:val="false"/>
      <w:suff w:val="tab"/>
      <w:lvlText w:val="·"/>
      <w:lvlJc w:val="left"/>
      <w:pPr>
        <w:pStyle w:val="1032"/>
        <w:ind w:left="5040" w:hanging="360"/>
      </w:pPr>
      <w:rPr>
        <w:rFonts w:ascii="Symbol" w:hAnsi="Symbol" w:eastAsia="Symbol" w:cs="Symbol"/>
      </w:rPr>
    </w:lvl>
    <w:lvl w:ilvl="7">
      <w:start w:val="1"/>
      <w:numFmt w:val="bullet"/>
      <w:isLgl w:val="false"/>
      <w:suff w:val="tab"/>
      <w:lvlText w:val="o"/>
      <w:lvlJc w:val="left"/>
      <w:pPr>
        <w:pStyle w:val="1032"/>
        <w:ind w:left="5760" w:hanging="360"/>
      </w:pPr>
      <w:rPr>
        <w:rFonts w:ascii="Courier New" w:hAnsi="Courier New" w:eastAsia="Courier New" w:cs="Courier New"/>
      </w:rPr>
    </w:lvl>
    <w:lvl w:ilvl="8">
      <w:start w:val="1"/>
      <w:numFmt w:val="bullet"/>
      <w:isLgl w:val="false"/>
      <w:suff w:val="tab"/>
      <w:lvlText w:val="§"/>
      <w:lvlJc w:val="left"/>
      <w:pPr>
        <w:pStyle w:val="1032"/>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32"/>
        <w:ind w:left="768" w:hanging="360"/>
        <w:tabs>
          <w:tab w:val="num" w:pos="768" w:leader="none"/>
        </w:tabs>
      </w:pPr>
      <w:rPr>
        <w:rFonts w:hint="eastAsia"/>
      </w:rPr>
    </w:lvl>
    <w:lvl w:ilvl="1">
      <w:start w:val="1"/>
      <w:numFmt w:val="decimal"/>
      <w:pStyle w:val="1364"/>
      <w:isLgl w:val="false"/>
      <w:suff w:val="tab"/>
      <w:lvlText w:val="%2、"/>
      <w:lvlJc w:val="left"/>
      <w:pPr>
        <w:pStyle w:val="1032"/>
        <w:ind w:left="1188" w:hanging="360"/>
        <w:tabs>
          <w:tab w:val="num" w:pos="1188" w:leader="none"/>
        </w:tabs>
      </w:pPr>
      <w:rPr>
        <w:rFonts w:hint="eastAsia"/>
      </w:rPr>
    </w:lvl>
    <w:lvl w:ilvl="2">
      <w:start w:val="1"/>
      <w:numFmt w:val="decimal"/>
      <w:isLgl w:val="false"/>
      <w:suff w:val="tab"/>
      <w:lvlText w:val="（%3）"/>
      <w:lvlJc w:val="left"/>
      <w:pPr>
        <w:pStyle w:val="1032"/>
        <w:ind w:left="1968" w:hanging="720"/>
        <w:tabs>
          <w:tab w:val="num" w:pos="1968" w:leader="none"/>
        </w:tabs>
      </w:pPr>
      <w:rPr>
        <w:rFonts w:hint="eastAsia"/>
        <w:u w:val="none"/>
      </w:rPr>
    </w:lvl>
    <w:lvl w:ilvl="3">
      <w:start w:val="1"/>
      <w:numFmt w:val="decimal"/>
      <w:isLgl w:val="false"/>
      <w:suff w:val="tab"/>
      <w:lvlText w:val="%4."/>
      <w:lvlJc w:val="left"/>
      <w:pPr>
        <w:pStyle w:val="1032"/>
        <w:ind w:left="2088" w:hanging="420"/>
        <w:tabs>
          <w:tab w:val="num" w:pos="2088" w:leader="none"/>
        </w:tabs>
      </w:pPr>
    </w:lvl>
    <w:lvl w:ilvl="4">
      <w:start w:val="1"/>
      <w:numFmt w:val="lowerLetter"/>
      <w:isLgl w:val="false"/>
      <w:suff w:val="tab"/>
      <w:lvlText w:val="%5)"/>
      <w:lvlJc w:val="left"/>
      <w:pPr>
        <w:pStyle w:val="1032"/>
        <w:ind w:left="2508" w:hanging="420"/>
        <w:tabs>
          <w:tab w:val="num" w:pos="2508" w:leader="none"/>
        </w:tabs>
      </w:pPr>
    </w:lvl>
    <w:lvl w:ilvl="5">
      <w:start w:val="1"/>
      <w:numFmt w:val="lowerRoman"/>
      <w:isLgl w:val="false"/>
      <w:suff w:val="tab"/>
      <w:lvlText w:val="%6."/>
      <w:lvlJc w:val="right"/>
      <w:pPr>
        <w:pStyle w:val="1032"/>
        <w:ind w:left="2928" w:hanging="420"/>
        <w:tabs>
          <w:tab w:val="num" w:pos="2928" w:leader="none"/>
        </w:tabs>
      </w:pPr>
    </w:lvl>
    <w:lvl w:ilvl="6">
      <w:start w:val="1"/>
      <w:numFmt w:val="decimal"/>
      <w:isLgl w:val="false"/>
      <w:suff w:val="tab"/>
      <w:lvlText w:val="%7."/>
      <w:lvlJc w:val="left"/>
      <w:pPr>
        <w:pStyle w:val="1032"/>
        <w:ind w:left="3348" w:hanging="420"/>
        <w:tabs>
          <w:tab w:val="num" w:pos="3348" w:leader="none"/>
        </w:tabs>
      </w:pPr>
    </w:lvl>
    <w:lvl w:ilvl="7">
      <w:start w:val="1"/>
      <w:numFmt w:val="lowerLetter"/>
      <w:isLgl w:val="false"/>
      <w:suff w:val="tab"/>
      <w:lvlText w:val="%8)"/>
      <w:lvlJc w:val="left"/>
      <w:pPr>
        <w:pStyle w:val="1032"/>
        <w:ind w:left="3768" w:hanging="420"/>
        <w:tabs>
          <w:tab w:val="num" w:pos="3768" w:leader="none"/>
        </w:tabs>
      </w:pPr>
    </w:lvl>
    <w:lvl w:ilvl="8">
      <w:start w:val="1"/>
      <w:numFmt w:val="lowerRoman"/>
      <w:isLgl w:val="false"/>
      <w:suff w:val="tab"/>
      <w:lvlText w:val="%9."/>
      <w:lvlJc w:val="right"/>
      <w:pPr>
        <w:pStyle w:val="1032"/>
        <w:ind w:left="4188" w:hanging="420"/>
        <w:tabs>
          <w:tab w:val="num" w:pos="4188" w:leader="none"/>
        </w:tabs>
      </w:pPr>
    </w:lvl>
  </w:abstractNum>
  <w:abstractNum w:abstractNumId="2">
    <w:multiLevelType w:val="hybridMultilevel"/>
    <w:lvl w:ilvl="0">
      <w:start w:val="1"/>
      <w:numFmt w:val="decimal"/>
      <w:pStyle w:val="1331"/>
      <w:isLgl w:val="false"/>
      <w:suff w:val="tab"/>
      <w:lvlText w:val="%1)"/>
      <w:lvlJc w:val="left"/>
      <w:pPr>
        <w:pStyle w:val="1032"/>
        <w:ind w:left="420" w:hanging="420"/>
      </w:pPr>
    </w:lvl>
    <w:lvl w:ilvl="1">
      <w:start w:val="1"/>
      <w:numFmt w:val="lowerLetter"/>
      <w:isLgl w:val="false"/>
      <w:suff w:val="tab"/>
      <w:lvlText w:val="%2)"/>
      <w:lvlJc w:val="left"/>
      <w:pPr>
        <w:pStyle w:val="1032"/>
        <w:ind w:left="840" w:hanging="420"/>
      </w:pPr>
    </w:lvl>
    <w:lvl w:ilvl="2">
      <w:start w:val="1"/>
      <w:numFmt w:val="lowerRoman"/>
      <w:isLgl w:val="false"/>
      <w:suff w:val="tab"/>
      <w:lvlText w:val="%3."/>
      <w:lvlJc w:val="right"/>
      <w:pPr>
        <w:pStyle w:val="1032"/>
        <w:ind w:left="1260" w:hanging="420"/>
      </w:pPr>
    </w:lvl>
    <w:lvl w:ilvl="3">
      <w:start w:val="1"/>
      <w:numFmt w:val="decimal"/>
      <w:isLgl w:val="false"/>
      <w:suff w:val="tab"/>
      <w:lvlText w:val="%4."/>
      <w:lvlJc w:val="left"/>
      <w:pPr>
        <w:pStyle w:val="1032"/>
        <w:ind w:left="1680" w:hanging="420"/>
      </w:pPr>
    </w:lvl>
    <w:lvl w:ilvl="4">
      <w:start w:val="1"/>
      <w:numFmt w:val="lowerLetter"/>
      <w:isLgl w:val="false"/>
      <w:suff w:val="tab"/>
      <w:lvlText w:val="%5)"/>
      <w:lvlJc w:val="left"/>
      <w:pPr>
        <w:pStyle w:val="1032"/>
        <w:ind w:left="2100" w:hanging="420"/>
      </w:pPr>
    </w:lvl>
    <w:lvl w:ilvl="5">
      <w:start w:val="1"/>
      <w:numFmt w:val="lowerRoman"/>
      <w:isLgl w:val="false"/>
      <w:suff w:val="tab"/>
      <w:lvlText w:val="%6."/>
      <w:lvlJc w:val="right"/>
      <w:pPr>
        <w:pStyle w:val="1032"/>
        <w:ind w:left="2520" w:hanging="420"/>
      </w:pPr>
    </w:lvl>
    <w:lvl w:ilvl="6">
      <w:start w:val="1"/>
      <w:numFmt w:val="decimal"/>
      <w:isLgl w:val="false"/>
      <w:suff w:val="tab"/>
      <w:lvlText w:val="%7."/>
      <w:lvlJc w:val="left"/>
      <w:pPr>
        <w:pStyle w:val="1032"/>
        <w:ind w:left="2940" w:hanging="420"/>
      </w:pPr>
    </w:lvl>
    <w:lvl w:ilvl="7">
      <w:start w:val="1"/>
      <w:numFmt w:val="lowerLetter"/>
      <w:isLgl w:val="false"/>
      <w:suff w:val="tab"/>
      <w:lvlText w:val="%8)"/>
      <w:lvlJc w:val="left"/>
      <w:pPr>
        <w:pStyle w:val="1032"/>
        <w:ind w:left="3360" w:hanging="420"/>
      </w:pPr>
    </w:lvl>
    <w:lvl w:ilvl="8">
      <w:start w:val="1"/>
      <w:numFmt w:val="lowerRoman"/>
      <w:isLgl w:val="false"/>
      <w:suff w:val="tab"/>
      <w:lvlText w:val="%9."/>
      <w:lvlJc w:val="right"/>
      <w:pPr>
        <w:pStyle w:val="1032"/>
        <w:ind w:left="3780" w:hanging="420"/>
      </w:pPr>
    </w:lvl>
  </w:abstractNum>
  <w:abstractNum w:abstractNumId="3">
    <w:multiLevelType w:val="hybridMultilevel"/>
    <w:lvl w:ilvl="0">
      <w:start w:val="1"/>
      <w:numFmt w:val="decimal"/>
      <w:pStyle w:val="1326"/>
      <w:isLgl w:val="false"/>
      <w:suff w:val="nothing"/>
      <w:lvlText w:val="%1　"/>
      <w:lvlJc w:val="left"/>
      <w:pPr>
        <w:pStyle w:val="103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2"/>
        <w:ind w:left="-25" w:firstLine="0"/>
      </w:pPr>
      <w:rPr>
        <w:rFonts w:ascii="Times New Roman" w:hAnsi="Times New Roman" w:eastAsia="黑体"/>
        <w:b/>
        <w:i w:val="0"/>
        <w:sz w:val="28"/>
      </w:rPr>
    </w:lvl>
    <w:lvl w:ilvl="3">
      <w:start w:val="1"/>
      <w:numFmt w:val="decimal"/>
      <w:pStyle w:val="1362"/>
      <w:isLgl w:val="false"/>
      <w:suff w:val="nothing"/>
      <w:lvlText w:val="%1.%2.%3.%4　"/>
      <w:lvlJc w:val="left"/>
      <w:pPr>
        <w:pStyle w:val="103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2"/>
        <w:ind w:left="-25" w:firstLine="0"/>
      </w:pPr>
      <w:rPr>
        <w:rFonts w:ascii="Times New Roman" w:hAnsi="Times New Roman" w:eastAsia="宋体"/>
        <w:b/>
        <w:i w:val="0"/>
        <w:sz w:val="28"/>
      </w:rPr>
    </w:lvl>
    <w:lvl w:ilvl="6">
      <w:start w:val="1"/>
      <w:numFmt w:val="lowerLetter"/>
      <w:pStyle w:val="1383"/>
      <w:isLgl w:val="false"/>
      <w:suff w:val="tab"/>
      <w:lvlText w:val="%7) "/>
      <w:lvlJc w:val="left"/>
      <w:pPr>
        <w:pStyle w:val="1032"/>
        <w:ind w:left="-125" w:firstLine="400"/>
        <w:tabs>
          <w:tab w:val="num" w:pos="635" w:leader="none"/>
        </w:tabs>
      </w:pPr>
      <w:rPr>
        <w:rFonts w:ascii="Times New Roman" w:hAnsi="Times New Roman" w:eastAsia="宋体"/>
        <w:b/>
        <w:i w:val="0"/>
        <w:color w:val="000000"/>
        <w:sz w:val="28"/>
        <w:u w:val="none"/>
      </w:rPr>
    </w:lvl>
    <w:lvl w:ilvl="7">
      <w:start w:val="1"/>
      <w:numFmt w:val="decimal"/>
      <w:pStyle w:val="1346"/>
      <w:isLgl w:val="false"/>
      <w:suff w:val="tab"/>
      <w:lvlText w:val="%8) "/>
      <w:lvlJc w:val="left"/>
      <w:pPr>
        <w:pStyle w:val="103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2"/>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407"/>
      <w:isLgl w:val="false"/>
      <w:suff w:val="tab"/>
      <w:lvlText w:val="%1)"/>
      <w:lvlJc w:val="left"/>
      <w:pPr>
        <w:pStyle w:val="1032"/>
        <w:ind w:left="902" w:hanging="420"/>
      </w:pPr>
      <w:rPr>
        <w:color w:val="000000"/>
      </w:rPr>
    </w:lvl>
    <w:lvl w:ilvl="1">
      <w:start w:val="1"/>
      <w:numFmt w:val="lowerLetter"/>
      <w:isLgl w:val="false"/>
      <w:suff w:val="tab"/>
      <w:lvlText w:val="%2)"/>
      <w:lvlJc w:val="left"/>
      <w:pPr>
        <w:pStyle w:val="1032"/>
        <w:ind w:left="1322" w:hanging="420"/>
      </w:pPr>
    </w:lvl>
    <w:lvl w:ilvl="2">
      <w:start w:val="1"/>
      <w:numFmt w:val="lowerRoman"/>
      <w:isLgl w:val="false"/>
      <w:suff w:val="tab"/>
      <w:lvlText w:val="%3."/>
      <w:lvlJc w:val="right"/>
      <w:pPr>
        <w:pStyle w:val="1032"/>
        <w:ind w:left="1742" w:hanging="420"/>
      </w:pPr>
    </w:lvl>
    <w:lvl w:ilvl="3">
      <w:start w:val="1"/>
      <w:numFmt w:val="decimal"/>
      <w:isLgl w:val="false"/>
      <w:suff w:val="tab"/>
      <w:lvlText w:val="%4."/>
      <w:lvlJc w:val="left"/>
      <w:pPr>
        <w:pStyle w:val="1032"/>
        <w:ind w:left="2162" w:hanging="420"/>
      </w:pPr>
    </w:lvl>
    <w:lvl w:ilvl="4">
      <w:start w:val="1"/>
      <w:numFmt w:val="lowerLetter"/>
      <w:isLgl w:val="false"/>
      <w:suff w:val="tab"/>
      <w:lvlText w:val="%5)"/>
      <w:lvlJc w:val="left"/>
      <w:pPr>
        <w:pStyle w:val="1032"/>
        <w:ind w:left="2582" w:hanging="420"/>
      </w:pPr>
    </w:lvl>
    <w:lvl w:ilvl="5">
      <w:start w:val="1"/>
      <w:numFmt w:val="lowerRoman"/>
      <w:isLgl w:val="false"/>
      <w:suff w:val="tab"/>
      <w:lvlText w:val="%6."/>
      <w:lvlJc w:val="right"/>
      <w:pPr>
        <w:pStyle w:val="1032"/>
        <w:ind w:left="3002" w:hanging="420"/>
      </w:pPr>
    </w:lvl>
    <w:lvl w:ilvl="6">
      <w:start w:val="1"/>
      <w:numFmt w:val="decimal"/>
      <w:isLgl w:val="false"/>
      <w:suff w:val="tab"/>
      <w:lvlText w:val="%7."/>
      <w:lvlJc w:val="left"/>
      <w:pPr>
        <w:pStyle w:val="1032"/>
        <w:ind w:left="3422" w:hanging="420"/>
      </w:pPr>
    </w:lvl>
    <w:lvl w:ilvl="7">
      <w:start w:val="1"/>
      <w:numFmt w:val="lowerLetter"/>
      <w:isLgl w:val="false"/>
      <w:suff w:val="tab"/>
      <w:lvlText w:val="%8)"/>
      <w:lvlJc w:val="left"/>
      <w:pPr>
        <w:pStyle w:val="1032"/>
        <w:ind w:left="3842" w:hanging="420"/>
      </w:pPr>
    </w:lvl>
    <w:lvl w:ilvl="8">
      <w:start w:val="1"/>
      <w:numFmt w:val="lowerRoman"/>
      <w:isLgl w:val="false"/>
      <w:suff w:val="tab"/>
      <w:lvlText w:val="%9."/>
      <w:lvlJc w:val="right"/>
      <w:pPr>
        <w:pStyle w:val="1032"/>
        <w:ind w:left="4262" w:hanging="420"/>
      </w:pPr>
    </w:lvl>
  </w:abstractNum>
  <w:abstractNum w:abstractNumId="5">
    <w:multiLevelType w:val="hybridMultilevel"/>
    <w:lvl w:ilvl="0">
      <w:start w:val="1"/>
      <w:numFmt w:val="decimal"/>
      <w:pStyle w:val="1432"/>
      <w:isLgl w:val="false"/>
      <w:suff w:val="tab"/>
      <w:lvlText w:val="%1"/>
      <w:lvlJc w:val="left"/>
      <w:pPr>
        <w:pStyle w:val="1032"/>
        <w:ind w:left="680" w:hanging="680"/>
      </w:pPr>
      <w:rPr>
        <w:rFonts w:hint="eastAsia" w:ascii="宋体" w:hAnsi="宋体" w:eastAsia="宋体"/>
      </w:rPr>
    </w:lvl>
    <w:lvl w:ilvl="1">
      <w:start w:val="1"/>
      <w:numFmt w:val="decimal"/>
      <w:pStyle w:val="1433"/>
      <w:isLgl w:val="false"/>
      <w:suff w:val="tab"/>
      <w:lvlText w:val="%1.%2"/>
      <w:lvlJc w:val="left"/>
      <w:pPr>
        <w:pStyle w:val="1032"/>
        <w:ind w:left="851" w:hanging="851"/>
      </w:pPr>
      <w:rPr>
        <w:rFonts w:hint="eastAsia" w:ascii="宋体" w:hAnsi="宋体" w:eastAsia="宋体"/>
        <w:color w:val="000000"/>
      </w:rPr>
    </w:lvl>
    <w:lvl w:ilvl="2">
      <w:start w:val="1"/>
      <w:numFmt w:val="decimal"/>
      <w:pStyle w:val="1434"/>
      <w:isLgl w:val="false"/>
      <w:suff w:val="tab"/>
      <w:lvlText w:val="%1.%2.%3"/>
      <w:lvlJc w:val="left"/>
      <w:pPr>
        <w:pStyle w:val="1032"/>
        <w:ind w:left="851" w:hanging="851"/>
      </w:pPr>
      <w:rPr>
        <w:rFonts w:hint="eastAsia"/>
      </w:rPr>
    </w:lvl>
    <w:lvl w:ilvl="3">
      <w:start w:val="1"/>
      <w:numFmt w:val="decimal"/>
      <w:isLgl w:val="false"/>
      <w:suff w:val="tab"/>
      <w:lvlText w:val="%1.%2.%3.%4"/>
      <w:lvlJc w:val="left"/>
      <w:pPr>
        <w:pStyle w:val="1032"/>
        <w:ind w:left="680" w:hanging="680"/>
      </w:pPr>
      <w:rPr>
        <w:rFonts w:hint="eastAsia"/>
      </w:rPr>
    </w:lvl>
    <w:lvl w:ilvl="4">
      <w:start w:val="1"/>
      <w:numFmt w:val="decimal"/>
      <w:isLgl w:val="false"/>
      <w:suff w:val="tab"/>
      <w:lvlText w:val="%1.%2.%3.%4.%5"/>
      <w:lvlJc w:val="left"/>
      <w:pPr>
        <w:pStyle w:val="1032"/>
        <w:ind w:left="680" w:hanging="680"/>
      </w:pPr>
      <w:rPr>
        <w:rFonts w:hint="eastAsia"/>
      </w:rPr>
    </w:lvl>
    <w:lvl w:ilvl="5">
      <w:start w:val="1"/>
      <w:numFmt w:val="decimal"/>
      <w:isLgl w:val="false"/>
      <w:suff w:val="tab"/>
      <w:lvlText w:val="%1.%2.%3.%4.%5.%6"/>
      <w:lvlJc w:val="left"/>
      <w:pPr>
        <w:pStyle w:val="1032"/>
        <w:ind w:left="680" w:hanging="680"/>
      </w:pPr>
      <w:rPr>
        <w:rFonts w:hint="eastAsia"/>
      </w:rPr>
    </w:lvl>
    <w:lvl w:ilvl="6">
      <w:start w:val="1"/>
      <w:numFmt w:val="decimal"/>
      <w:isLgl w:val="false"/>
      <w:suff w:val="tab"/>
      <w:lvlText w:val="%1.%2.%3.%4.%5.%6.%7"/>
      <w:lvlJc w:val="left"/>
      <w:pPr>
        <w:pStyle w:val="1032"/>
        <w:ind w:left="680" w:hanging="680"/>
      </w:pPr>
      <w:rPr>
        <w:rFonts w:hint="eastAsia"/>
      </w:rPr>
    </w:lvl>
    <w:lvl w:ilvl="7">
      <w:start w:val="1"/>
      <w:numFmt w:val="decimal"/>
      <w:isLgl w:val="false"/>
      <w:suff w:val="tab"/>
      <w:lvlText w:val="%1.%2.%3.%4.%5.%6.%7.%8"/>
      <w:lvlJc w:val="left"/>
      <w:pPr>
        <w:pStyle w:val="1032"/>
        <w:ind w:left="680" w:hanging="680"/>
      </w:pPr>
      <w:rPr>
        <w:rFonts w:hint="eastAsia"/>
      </w:rPr>
    </w:lvl>
    <w:lvl w:ilvl="8">
      <w:start w:val="1"/>
      <w:numFmt w:val="decimal"/>
      <w:isLgl w:val="false"/>
      <w:suff w:val="tab"/>
      <w:lvlText w:val="%1.%2.%3.%4.%5.%6.%7.%8.%9"/>
      <w:lvlJc w:val="left"/>
      <w:pPr>
        <w:pStyle w:val="1032"/>
        <w:ind w:left="680" w:hanging="680"/>
      </w:pPr>
      <w:rPr>
        <w:rFonts w:hint="eastAsia"/>
      </w:rPr>
    </w:lvl>
  </w:abstractNum>
  <w:abstractNum w:abstractNumId="6">
    <w:multiLevelType w:val="hybridMultilevel"/>
    <w:lvl w:ilvl="0">
      <w:start w:val="1"/>
      <w:numFmt w:val="decimal"/>
      <w:pStyle w:val="1332"/>
      <w:isLgl w:val="false"/>
      <w:suff w:val="tab"/>
      <w:lvlText w:val="%1."/>
      <w:lvlJc w:val="left"/>
      <w:pPr>
        <w:pStyle w:val="1032"/>
        <w:ind w:left="420" w:hanging="420"/>
      </w:pPr>
    </w:lvl>
    <w:lvl w:ilvl="1">
      <w:start w:val="1"/>
      <w:numFmt w:val="decimal"/>
      <w:isLgl w:val="false"/>
      <w:suff w:val="tab"/>
      <w:lvlText w:val="（%2）"/>
      <w:lvlJc w:val="left"/>
      <w:pPr>
        <w:pStyle w:val="1032"/>
        <w:ind w:left="1140" w:hanging="720"/>
        <w:tabs>
          <w:tab w:val="num" w:pos="1140" w:leader="none"/>
        </w:tabs>
      </w:pPr>
      <w:rPr>
        <w:rFonts w:hint="eastAsia"/>
      </w:rPr>
    </w:lvl>
    <w:lvl w:ilvl="2">
      <w:start w:val="1"/>
      <w:numFmt w:val="lowerRoman"/>
      <w:isLgl w:val="false"/>
      <w:suff w:val="tab"/>
      <w:lvlText w:val="%3."/>
      <w:lvlJc w:val="right"/>
      <w:pPr>
        <w:pStyle w:val="1032"/>
        <w:ind w:left="1260" w:hanging="420"/>
      </w:pPr>
    </w:lvl>
    <w:lvl w:ilvl="3">
      <w:start w:val="1"/>
      <w:numFmt w:val="decimal"/>
      <w:isLgl w:val="false"/>
      <w:suff w:val="tab"/>
      <w:lvlText w:val="%4."/>
      <w:lvlJc w:val="left"/>
      <w:pPr>
        <w:pStyle w:val="1032"/>
        <w:ind w:left="1680" w:hanging="420"/>
      </w:pPr>
    </w:lvl>
    <w:lvl w:ilvl="4">
      <w:start w:val="1"/>
      <w:numFmt w:val="lowerLetter"/>
      <w:isLgl w:val="false"/>
      <w:suff w:val="tab"/>
      <w:lvlText w:val="%5)"/>
      <w:lvlJc w:val="left"/>
      <w:pPr>
        <w:pStyle w:val="1032"/>
        <w:ind w:left="2100" w:hanging="420"/>
      </w:pPr>
    </w:lvl>
    <w:lvl w:ilvl="5">
      <w:start w:val="1"/>
      <w:numFmt w:val="lowerRoman"/>
      <w:isLgl w:val="false"/>
      <w:suff w:val="tab"/>
      <w:lvlText w:val="%6."/>
      <w:lvlJc w:val="right"/>
      <w:pPr>
        <w:pStyle w:val="1032"/>
        <w:ind w:left="2520" w:hanging="420"/>
      </w:pPr>
    </w:lvl>
    <w:lvl w:ilvl="6">
      <w:start w:val="1"/>
      <w:numFmt w:val="decimal"/>
      <w:isLgl w:val="false"/>
      <w:suff w:val="tab"/>
      <w:lvlText w:val="%7."/>
      <w:lvlJc w:val="left"/>
      <w:pPr>
        <w:pStyle w:val="1032"/>
        <w:ind w:left="2940" w:hanging="420"/>
      </w:pPr>
    </w:lvl>
    <w:lvl w:ilvl="7">
      <w:start w:val="1"/>
      <w:numFmt w:val="lowerLetter"/>
      <w:isLgl w:val="false"/>
      <w:suff w:val="tab"/>
      <w:lvlText w:val="%8)"/>
      <w:lvlJc w:val="left"/>
      <w:pPr>
        <w:pStyle w:val="1032"/>
        <w:ind w:left="3360" w:hanging="420"/>
      </w:pPr>
    </w:lvl>
    <w:lvl w:ilvl="8">
      <w:start w:val="1"/>
      <w:numFmt w:val="lowerRoman"/>
      <w:isLgl w:val="false"/>
      <w:suff w:val="tab"/>
      <w:lvlText w:val="%9."/>
      <w:lvlJc w:val="right"/>
      <w:pPr>
        <w:pStyle w:val="1032"/>
        <w:ind w:left="3780" w:hanging="420"/>
      </w:pPr>
    </w:lvl>
  </w:abstractNum>
  <w:num w:numId="1">
    <w:abstractNumId w:val="3"/>
  </w:num>
  <w:num w:numId="2">
    <w:abstractNumId w:val="6"/>
  </w:num>
  <w:num w:numId="3">
    <w:abstractNumId w:val="2"/>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2">
    <w:name w:val="Heading 1"/>
    <w:basedOn w:val="1032"/>
    <w:next w:val="1032"/>
    <w:link w:val="1044"/>
    <w:uiPriority w:val="9"/>
    <w:qFormat/>
    <w:pPr>
      <w:keepLines/>
      <w:keepNext/>
      <w:spacing w:before="480" w:after="200"/>
      <w:outlineLvl w:val="0"/>
    </w:pPr>
    <w:rPr>
      <w:rFonts w:ascii="Arial" w:hAnsi="Arial" w:eastAsia="Arial" w:cs="Arial"/>
      <w:sz w:val="40"/>
      <w:szCs w:val="40"/>
    </w:rPr>
  </w:style>
  <w:style w:type="paragraph" w:styleId="1003">
    <w:name w:val="Heading 2"/>
    <w:basedOn w:val="1032"/>
    <w:next w:val="1032"/>
    <w:link w:val="1045"/>
    <w:uiPriority w:val="9"/>
    <w:unhideWhenUsed/>
    <w:qFormat/>
    <w:pPr>
      <w:keepLines/>
      <w:keepNext/>
      <w:spacing w:before="360" w:after="200"/>
      <w:outlineLvl w:val="1"/>
    </w:pPr>
    <w:rPr>
      <w:rFonts w:ascii="Arial" w:hAnsi="Arial" w:eastAsia="Arial" w:cs="Arial"/>
      <w:sz w:val="34"/>
    </w:rPr>
  </w:style>
  <w:style w:type="paragraph" w:styleId="1004">
    <w:name w:val="Heading 3"/>
    <w:basedOn w:val="1032"/>
    <w:next w:val="1032"/>
    <w:link w:val="1046"/>
    <w:uiPriority w:val="9"/>
    <w:unhideWhenUsed/>
    <w:qFormat/>
    <w:pPr>
      <w:keepLines/>
      <w:keepNext/>
      <w:spacing w:before="320" w:after="200"/>
      <w:outlineLvl w:val="2"/>
    </w:pPr>
    <w:rPr>
      <w:rFonts w:ascii="Arial" w:hAnsi="Arial" w:eastAsia="Arial" w:cs="Arial"/>
      <w:sz w:val="30"/>
      <w:szCs w:val="30"/>
    </w:rPr>
  </w:style>
  <w:style w:type="paragraph" w:styleId="1005">
    <w:name w:val="Heading 4"/>
    <w:basedOn w:val="1032"/>
    <w:next w:val="1032"/>
    <w:link w:val="1047"/>
    <w:uiPriority w:val="9"/>
    <w:unhideWhenUsed/>
    <w:qFormat/>
    <w:pPr>
      <w:keepLines/>
      <w:keepNext/>
      <w:spacing w:before="320" w:after="200"/>
      <w:outlineLvl w:val="3"/>
    </w:pPr>
    <w:rPr>
      <w:rFonts w:ascii="Arial" w:hAnsi="Arial" w:eastAsia="Arial" w:cs="Arial"/>
      <w:b/>
      <w:bCs/>
      <w:sz w:val="26"/>
      <w:szCs w:val="26"/>
    </w:rPr>
  </w:style>
  <w:style w:type="paragraph" w:styleId="1006">
    <w:name w:val="Heading 5"/>
    <w:basedOn w:val="1032"/>
    <w:next w:val="1032"/>
    <w:link w:val="1048"/>
    <w:uiPriority w:val="9"/>
    <w:unhideWhenUsed/>
    <w:qFormat/>
    <w:pPr>
      <w:keepLines/>
      <w:keepNext/>
      <w:spacing w:before="320" w:after="200"/>
      <w:outlineLvl w:val="4"/>
    </w:pPr>
    <w:rPr>
      <w:rFonts w:ascii="Arial" w:hAnsi="Arial" w:eastAsia="Arial" w:cs="Arial"/>
      <w:b/>
      <w:bCs/>
      <w:sz w:val="24"/>
      <w:szCs w:val="24"/>
    </w:rPr>
  </w:style>
  <w:style w:type="paragraph" w:styleId="1007">
    <w:name w:val="Heading 6"/>
    <w:basedOn w:val="1032"/>
    <w:next w:val="1032"/>
    <w:link w:val="1049"/>
    <w:uiPriority w:val="9"/>
    <w:unhideWhenUsed/>
    <w:qFormat/>
    <w:pPr>
      <w:keepLines/>
      <w:keepNext/>
      <w:spacing w:before="320" w:after="200"/>
      <w:outlineLvl w:val="5"/>
    </w:pPr>
    <w:rPr>
      <w:rFonts w:ascii="Arial" w:hAnsi="Arial" w:eastAsia="Arial" w:cs="Arial"/>
      <w:b/>
      <w:bCs/>
      <w:sz w:val="22"/>
      <w:szCs w:val="22"/>
    </w:rPr>
  </w:style>
  <w:style w:type="paragraph" w:styleId="1008">
    <w:name w:val="Heading 7"/>
    <w:basedOn w:val="1032"/>
    <w:next w:val="1032"/>
    <w:link w:val="1050"/>
    <w:uiPriority w:val="9"/>
    <w:unhideWhenUsed/>
    <w:qFormat/>
    <w:pPr>
      <w:keepLines/>
      <w:keepNext/>
      <w:spacing w:before="320" w:after="200"/>
      <w:outlineLvl w:val="6"/>
    </w:pPr>
    <w:rPr>
      <w:rFonts w:ascii="Arial" w:hAnsi="Arial" w:eastAsia="Arial" w:cs="Arial"/>
      <w:b/>
      <w:bCs/>
      <w:i/>
      <w:iCs/>
      <w:sz w:val="22"/>
      <w:szCs w:val="22"/>
    </w:rPr>
  </w:style>
  <w:style w:type="paragraph" w:styleId="1009">
    <w:name w:val="Heading 8"/>
    <w:basedOn w:val="1032"/>
    <w:next w:val="1032"/>
    <w:link w:val="1051"/>
    <w:uiPriority w:val="9"/>
    <w:unhideWhenUsed/>
    <w:qFormat/>
    <w:pPr>
      <w:keepLines/>
      <w:keepNext/>
      <w:spacing w:before="320" w:after="200"/>
      <w:outlineLvl w:val="7"/>
    </w:pPr>
    <w:rPr>
      <w:rFonts w:ascii="Arial" w:hAnsi="Arial" w:eastAsia="Arial" w:cs="Arial"/>
      <w:i/>
      <w:iCs/>
      <w:sz w:val="22"/>
      <w:szCs w:val="22"/>
    </w:rPr>
  </w:style>
  <w:style w:type="paragraph" w:styleId="1010">
    <w:name w:val="Heading 9"/>
    <w:basedOn w:val="1032"/>
    <w:next w:val="1032"/>
    <w:link w:val="1052"/>
    <w:uiPriority w:val="9"/>
    <w:unhideWhenUsed/>
    <w:qFormat/>
    <w:pPr>
      <w:keepLines/>
      <w:keepNext/>
      <w:spacing w:before="320" w:after="200"/>
      <w:outlineLvl w:val="8"/>
    </w:pPr>
    <w:rPr>
      <w:rFonts w:ascii="Arial" w:hAnsi="Arial" w:eastAsia="Arial" w:cs="Arial"/>
      <w:i/>
      <w:iCs/>
      <w:sz w:val="21"/>
      <w:szCs w:val="21"/>
    </w:rPr>
  </w:style>
  <w:style w:type="paragraph" w:styleId="1011">
    <w:name w:val="Title"/>
    <w:basedOn w:val="1032"/>
    <w:next w:val="1032"/>
    <w:link w:val="1077"/>
    <w:uiPriority w:val="10"/>
    <w:qFormat/>
    <w:pPr>
      <w:contextualSpacing/>
      <w:spacing w:before="300" w:after="200"/>
    </w:pPr>
    <w:rPr>
      <w:sz w:val="48"/>
      <w:szCs w:val="48"/>
    </w:rPr>
  </w:style>
  <w:style w:type="paragraph" w:styleId="1012">
    <w:name w:val="Subtitle"/>
    <w:basedOn w:val="1032"/>
    <w:next w:val="1032"/>
    <w:link w:val="1069"/>
    <w:uiPriority w:val="11"/>
    <w:qFormat/>
    <w:pPr>
      <w:spacing w:before="200" w:after="200"/>
    </w:pPr>
    <w:rPr>
      <w:sz w:val="24"/>
      <w:szCs w:val="24"/>
    </w:rPr>
  </w:style>
  <w:style w:type="paragraph" w:styleId="1013">
    <w:name w:val="Header"/>
    <w:basedOn w:val="1032"/>
    <w:link w:val="1065"/>
    <w:uiPriority w:val="99"/>
    <w:unhideWhenUsed/>
    <w:pPr>
      <w:spacing w:after="0" w:line="240" w:lineRule="auto"/>
      <w:tabs>
        <w:tab w:val="center" w:pos="7143" w:leader="none"/>
        <w:tab w:val="right" w:pos="14287" w:leader="none"/>
      </w:tabs>
    </w:pPr>
  </w:style>
  <w:style w:type="paragraph" w:styleId="1014">
    <w:name w:val="Footer"/>
    <w:basedOn w:val="1032"/>
    <w:link w:val="1082"/>
    <w:uiPriority w:val="99"/>
    <w:unhideWhenUsed/>
    <w:pPr>
      <w:spacing w:after="0" w:line="240" w:lineRule="auto"/>
      <w:tabs>
        <w:tab w:val="center" w:pos="7143" w:leader="none"/>
        <w:tab w:val="right" w:pos="14287" w:leader="none"/>
      </w:tabs>
    </w:pPr>
  </w:style>
  <w:style w:type="paragraph" w:styleId="1015">
    <w:name w:val="Caption"/>
    <w:basedOn w:val="1032"/>
    <w:next w:val="1032"/>
    <w:uiPriority w:val="35"/>
    <w:semiHidden/>
    <w:unhideWhenUsed/>
    <w:qFormat/>
    <w:pPr>
      <w:spacing w:line="276" w:lineRule="auto"/>
    </w:pPr>
    <w:rPr>
      <w:b/>
      <w:bCs/>
      <w:color w:val="4f81bd" w:themeColor="accent1"/>
      <w:sz w:val="18"/>
      <w:szCs w:val="18"/>
    </w:rPr>
  </w:style>
  <w:style w:type="table" w:styleId="10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7">
    <w:name w:val="Hyperlink"/>
    <w:uiPriority w:val="99"/>
    <w:unhideWhenUsed/>
    <w:rPr>
      <w:color w:val="0000ff" w:themeColor="hyperlink"/>
      <w:u w:val="single"/>
    </w:rPr>
  </w:style>
  <w:style w:type="paragraph" w:styleId="1018">
    <w:name w:val="footnote text"/>
    <w:basedOn w:val="1032"/>
    <w:link w:val="1071"/>
    <w:uiPriority w:val="99"/>
    <w:semiHidden/>
    <w:unhideWhenUsed/>
    <w:pPr>
      <w:spacing w:after="40" w:line="240" w:lineRule="auto"/>
    </w:pPr>
    <w:rPr>
      <w:sz w:val="18"/>
    </w:rPr>
  </w:style>
  <w:style w:type="character" w:styleId="1019">
    <w:name w:val="footnote reference"/>
    <w:uiPriority w:val="99"/>
    <w:unhideWhenUsed/>
    <w:rPr>
      <w:vertAlign w:val="superscript"/>
    </w:rPr>
  </w:style>
  <w:style w:type="paragraph" w:styleId="1020">
    <w:name w:val="endnote text"/>
    <w:basedOn w:val="1032"/>
    <w:link w:val="1061"/>
    <w:uiPriority w:val="99"/>
    <w:semiHidden/>
    <w:unhideWhenUsed/>
    <w:pPr>
      <w:spacing w:after="0" w:line="240" w:lineRule="auto"/>
    </w:pPr>
    <w:rPr>
      <w:sz w:val="20"/>
    </w:rPr>
  </w:style>
  <w:style w:type="character" w:styleId="1021">
    <w:name w:val="endnote reference"/>
    <w:uiPriority w:val="99"/>
    <w:semiHidden/>
    <w:unhideWhenUsed/>
    <w:rPr>
      <w:vertAlign w:val="superscript"/>
    </w:rPr>
  </w:style>
  <w:style w:type="paragraph" w:styleId="1022">
    <w:name w:val="toc 1"/>
    <w:basedOn w:val="1032"/>
    <w:next w:val="1032"/>
    <w:uiPriority w:val="39"/>
    <w:unhideWhenUsed/>
    <w:pPr>
      <w:ind w:left="0" w:right="0" w:firstLine="0"/>
      <w:spacing w:after="57"/>
    </w:pPr>
  </w:style>
  <w:style w:type="paragraph" w:styleId="1023">
    <w:name w:val="toc 2"/>
    <w:basedOn w:val="1032"/>
    <w:next w:val="1032"/>
    <w:uiPriority w:val="39"/>
    <w:unhideWhenUsed/>
    <w:pPr>
      <w:ind w:left="283" w:right="0" w:firstLine="0"/>
      <w:spacing w:after="57"/>
    </w:pPr>
  </w:style>
  <w:style w:type="paragraph" w:styleId="1024">
    <w:name w:val="toc 3"/>
    <w:basedOn w:val="1032"/>
    <w:next w:val="1032"/>
    <w:uiPriority w:val="39"/>
    <w:unhideWhenUsed/>
    <w:pPr>
      <w:ind w:left="567" w:right="0" w:firstLine="0"/>
      <w:spacing w:after="57"/>
    </w:pPr>
  </w:style>
  <w:style w:type="paragraph" w:styleId="1025">
    <w:name w:val="toc 4"/>
    <w:basedOn w:val="1032"/>
    <w:next w:val="1032"/>
    <w:uiPriority w:val="39"/>
    <w:unhideWhenUsed/>
    <w:pPr>
      <w:ind w:left="850" w:right="0" w:firstLine="0"/>
      <w:spacing w:after="57"/>
    </w:pPr>
  </w:style>
  <w:style w:type="paragraph" w:styleId="1026">
    <w:name w:val="toc 5"/>
    <w:basedOn w:val="1032"/>
    <w:next w:val="1032"/>
    <w:uiPriority w:val="39"/>
    <w:unhideWhenUsed/>
    <w:pPr>
      <w:ind w:left="1134" w:right="0" w:firstLine="0"/>
      <w:spacing w:after="57"/>
    </w:pPr>
  </w:style>
  <w:style w:type="paragraph" w:styleId="1027">
    <w:name w:val="toc 6"/>
    <w:basedOn w:val="1032"/>
    <w:next w:val="1032"/>
    <w:uiPriority w:val="39"/>
    <w:unhideWhenUsed/>
    <w:pPr>
      <w:ind w:left="1417" w:right="0" w:firstLine="0"/>
      <w:spacing w:after="57"/>
    </w:pPr>
  </w:style>
  <w:style w:type="paragraph" w:styleId="1028">
    <w:name w:val="toc 7"/>
    <w:basedOn w:val="1032"/>
    <w:next w:val="1032"/>
    <w:uiPriority w:val="39"/>
    <w:unhideWhenUsed/>
    <w:pPr>
      <w:ind w:left="1701" w:right="0" w:firstLine="0"/>
      <w:spacing w:after="57"/>
    </w:pPr>
  </w:style>
  <w:style w:type="paragraph" w:styleId="1029">
    <w:name w:val="toc 8"/>
    <w:basedOn w:val="1032"/>
    <w:next w:val="1032"/>
    <w:uiPriority w:val="39"/>
    <w:unhideWhenUsed/>
    <w:pPr>
      <w:ind w:left="1984" w:right="0" w:firstLine="0"/>
      <w:spacing w:after="57"/>
    </w:pPr>
  </w:style>
  <w:style w:type="paragraph" w:styleId="1030">
    <w:name w:val="toc 9"/>
    <w:basedOn w:val="1032"/>
    <w:next w:val="1032"/>
    <w:uiPriority w:val="39"/>
    <w:unhideWhenUsed/>
    <w:pPr>
      <w:ind w:left="2268" w:right="0" w:firstLine="0"/>
      <w:spacing w:after="57"/>
    </w:pPr>
  </w:style>
  <w:style w:type="paragraph" w:styleId="1031">
    <w:name w:val="table of figures"/>
    <w:basedOn w:val="1032"/>
    <w:next w:val="1032"/>
    <w:uiPriority w:val="99"/>
    <w:unhideWhenUsed/>
    <w:pPr>
      <w:spacing w:after="0" w:afterAutospacing="0"/>
    </w:pPr>
  </w:style>
  <w:style w:type="paragraph" w:styleId="1032" w:default="1">
    <w:name w:val="Normal"/>
    <w:next w:val="1032"/>
    <w:link w:val="1032"/>
    <w:qFormat/>
    <w:pPr>
      <w:jc w:val="both"/>
      <w:widowControl w:val="off"/>
    </w:pPr>
    <w:rPr>
      <w:rFonts w:ascii="Times New Roman" w:hAnsi="Times New Roman" w:eastAsia="宋体" w:cs="Times New Roman"/>
      <w:sz w:val="21"/>
      <w:szCs w:val="24"/>
      <w:lang w:val="en-US" w:eastAsia="zh-CN" w:bidi="ar-SA"/>
    </w:rPr>
  </w:style>
  <w:style w:type="paragraph" w:styleId="1033">
    <w:name w:val="标题 1"/>
    <w:basedOn w:val="1032"/>
    <w:next w:val="1032"/>
    <w:link w:val="1044"/>
    <w:uiPriority w:val="9"/>
    <w:qFormat/>
    <w:pPr>
      <w:keepLines/>
      <w:keepNext/>
      <w:spacing w:before="480" w:after="200"/>
      <w:outlineLvl w:val="0"/>
    </w:pPr>
    <w:rPr>
      <w:rFonts w:ascii="Arial" w:hAnsi="Arial" w:eastAsia="Arial" w:cs="Arial"/>
      <w:sz w:val="40"/>
      <w:szCs w:val="40"/>
    </w:rPr>
  </w:style>
  <w:style w:type="paragraph" w:styleId="1034">
    <w:name w:val="标题 2"/>
    <w:basedOn w:val="1032"/>
    <w:next w:val="1032"/>
    <w:link w:val="1045"/>
    <w:uiPriority w:val="9"/>
    <w:unhideWhenUsed/>
    <w:qFormat/>
    <w:pPr>
      <w:keepLines/>
      <w:keepNext/>
      <w:spacing w:before="360" w:after="200"/>
      <w:outlineLvl w:val="1"/>
    </w:pPr>
    <w:rPr>
      <w:rFonts w:ascii="Arial" w:hAnsi="Arial" w:eastAsia="Arial" w:cs="Arial"/>
      <w:sz w:val="34"/>
    </w:rPr>
  </w:style>
  <w:style w:type="paragraph" w:styleId="1035">
    <w:name w:val="标题 3"/>
    <w:basedOn w:val="1032"/>
    <w:next w:val="1032"/>
    <w:link w:val="1046"/>
    <w:uiPriority w:val="9"/>
    <w:unhideWhenUsed/>
    <w:qFormat/>
    <w:pPr>
      <w:keepLines/>
      <w:keepNext/>
      <w:spacing w:before="320" w:after="200"/>
      <w:outlineLvl w:val="2"/>
    </w:pPr>
    <w:rPr>
      <w:rFonts w:ascii="Arial" w:hAnsi="Arial" w:eastAsia="Arial" w:cs="Arial"/>
      <w:sz w:val="30"/>
      <w:szCs w:val="30"/>
    </w:rPr>
  </w:style>
  <w:style w:type="paragraph" w:styleId="1036">
    <w:name w:val="标题 4"/>
    <w:basedOn w:val="1032"/>
    <w:next w:val="1032"/>
    <w:link w:val="1047"/>
    <w:uiPriority w:val="9"/>
    <w:unhideWhenUsed/>
    <w:qFormat/>
    <w:pPr>
      <w:keepLines/>
      <w:keepNext/>
      <w:spacing w:before="320" w:after="200"/>
      <w:outlineLvl w:val="3"/>
    </w:pPr>
    <w:rPr>
      <w:rFonts w:ascii="Arial" w:hAnsi="Arial" w:eastAsia="Arial" w:cs="Arial"/>
      <w:b/>
      <w:bCs/>
      <w:sz w:val="26"/>
      <w:szCs w:val="26"/>
    </w:rPr>
  </w:style>
  <w:style w:type="paragraph" w:styleId="1037">
    <w:name w:val="标题 5"/>
    <w:basedOn w:val="1032"/>
    <w:next w:val="1032"/>
    <w:link w:val="1048"/>
    <w:uiPriority w:val="9"/>
    <w:unhideWhenUsed/>
    <w:qFormat/>
    <w:pPr>
      <w:keepLines/>
      <w:keepNext/>
      <w:spacing w:before="320" w:after="200"/>
      <w:outlineLvl w:val="4"/>
    </w:pPr>
    <w:rPr>
      <w:rFonts w:ascii="Arial" w:hAnsi="Arial" w:eastAsia="Arial" w:cs="Arial"/>
      <w:b/>
      <w:bCs/>
      <w:sz w:val="24"/>
      <w:szCs w:val="24"/>
    </w:rPr>
  </w:style>
  <w:style w:type="paragraph" w:styleId="1038">
    <w:name w:val="标题 6"/>
    <w:basedOn w:val="1032"/>
    <w:next w:val="1032"/>
    <w:link w:val="1049"/>
    <w:uiPriority w:val="9"/>
    <w:unhideWhenUsed/>
    <w:qFormat/>
    <w:pPr>
      <w:keepLines/>
      <w:keepNext/>
      <w:spacing w:before="320" w:after="200"/>
      <w:outlineLvl w:val="5"/>
    </w:pPr>
    <w:rPr>
      <w:rFonts w:ascii="Arial" w:hAnsi="Arial" w:eastAsia="Arial" w:cs="Arial"/>
      <w:b/>
      <w:bCs/>
      <w:sz w:val="22"/>
      <w:szCs w:val="22"/>
    </w:rPr>
  </w:style>
  <w:style w:type="paragraph" w:styleId="1039">
    <w:name w:val="标题 7"/>
    <w:basedOn w:val="1032"/>
    <w:next w:val="1032"/>
    <w:link w:val="1050"/>
    <w:uiPriority w:val="9"/>
    <w:unhideWhenUsed/>
    <w:qFormat/>
    <w:pPr>
      <w:keepLines/>
      <w:keepNext/>
      <w:spacing w:before="320" w:after="200"/>
      <w:outlineLvl w:val="6"/>
    </w:pPr>
    <w:rPr>
      <w:rFonts w:ascii="Arial" w:hAnsi="Arial" w:eastAsia="Arial" w:cs="Arial"/>
      <w:b/>
      <w:bCs/>
      <w:i/>
      <w:iCs/>
      <w:sz w:val="22"/>
      <w:szCs w:val="22"/>
    </w:rPr>
  </w:style>
  <w:style w:type="paragraph" w:styleId="1040">
    <w:name w:val="标题 8"/>
    <w:basedOn w:val="1032"/>
    <w:next w:val="1032"/>
    <w:link w:val="1051"/>
    <w:uiPriority w:val="9"/>
    <w:unhideWhenUsed/>
    <w:qFormat/>
    <w:pPr>
      <w:keepLines/>
      <w:keepNext/>
      <w:spacing w:before="320" w:after="200"/>
      <w:outlineLvl w:val="7"/>
    </w:pPr>
    <w:rPr>
      <w:rFonts w:ascii="Arial" w:hAnsi="Arial" w:eastAsia="Arial" w:cs="Arial"/>
      <w:i/>
      <w:iCs/>
      <w:sz w:val="22"/>
      <w:szCs w:val="22"/>
    </w:rPr>
  </w:style>
  <w:style w:type="paragraph" w:styleId="1041">
    <w:name w:val="标题 9"/>
    <w:basedOn w:val="1032"/>
    <w:next w:val="1032"/>
    <w:link w:val="1052"/>
    <w:uiPriority w:val="9"/>
    <w:unhideWhenUsed/>
    <w:qFormat/>
    <w:pPr>
      <w:keepLines/>
      <w:keepNext/>
      <w:spacing w:before="320" w:after="200"/>
      <w:outlineLvl w:val="8"/>
    </w:pPr>
    <w:rPr>
      <w:rFonts w:ascii="Arial" w:hAnsi="Arial" w:eastAsia="Arial" w:cs="Arial"/>
      <w:i/>
      <w:iCs/>
      <w:sz w:val="21"/>
      <w:szCs w:val="21"/>
    </w:rPr>
  </w:style>
  <w:style w:type="character" w:styleId="1042">
    <w:name w:val="默认段落字体"/>
    <w:next w:val="1042"/>
    <w:link w:val="1032"/>
    <w:uiPriority w:val="1"/>
    <w:unhideWhenUsed/>
    <w:qFormat/>
  </w:style>
  <w:style w:type="table" w:styleId="1043">
    <w:name w:val="普通表格"/>
    <w:next w:val="1043"/>
    <w:link w:val="1032"/>
    <w:uiPriority w:val="99"/>
    <w:unhideWhenUsed/>
    <w:qFormat/>
    <w:tblPr/>
  </w:style>
  <w:style w:type="character" w:styleId="1044">
    <w:name w:val="Heading 1 Char"/>
    <w:next w:val="1044"/>
    <w:link w:val="1033"/>
    <w:uiPriority w:val="9"/>
    <w:qFormat/>
    <w:rPr>
      <w:rFonts w:ascii="Arial" w:hAnsi="Arial" w:eastAsia="Arial" w:cs="Arial"/>
      <w:sz w:val="40"/>
      <w:szCs w:val="40"/>
    </w:rPr>
  </w:style>
  <w:style w:type="character" w:styleId="1045">
    <w:name w:val="Heading 2 Char"/>
    <w:next w:val="1045"/>
    <w:link w:val="1034"/>
    <w:uiPriority w:val="9"/>
    <w:qFormat/>
    <w:rPr>
      <w:rFonts w:ascii="Arial" w:hAnsi="Arial" w:eastAsia="Arial" w:cs="Arial"/>
      <w:sz w:val="34"/>
    </w:rPr>
  </w:style>
  <w:style w:type="character" w:styleId="1046">
    <w:name w:val="Heading 3 Char"/>
    <w:next w:val="1046"/>
    <w:link w:val="1035"/>
    <w:uiPriority w:val="9"/>
    <w:qFormat/>
    <w:rPr>
      <w:rFonts w:ascii="Arial" w:hAnsi="Arial" w:eastAsia="Arial" w:cs="Arial"/>
      <w:sz w:val="30"/>
      <w:szCs w:val="30"/>
    </w:rPr>
  </w:style>
  <w:style w:type="character" w:styleId="1047">
    <w:name w:val="Heading 4 Char"/>
    <w:next w:val="1047"/>
    <w:link w:val="1036"/>
    <w:uiPriority w:val="9"/>
    <w:qFormat/>
    <w:rPr>
      <w:rFonts w:ascii="Arial" w:hAnsi="Arial" w:eastAsia="Arial" w:cs="Arial"/>
      <w:b/>
      <w:bCs/>
      <w:sz w:val="26"/>
      <w:szCs w:val="26"/>
    </w:rPr>
  </w:style>
  <w:style w:type="character" w:styleId="1048">
    <w:name w:val="Heading 5 Char"/>
    <w:next w:val="1048"/>
    <w:link w:val="1037"/>
    <w:uiPriority w:val="9"/>
    <w:qFormat/>
    <w:rPr>
      <w:rFonts w:ascii="Arial" w:hAnsi="Arial" w:eastAsia="Arial" w:cs="Arial"/>
      <w:b/>
      <w:bCs/>
      <w:sz w:val="24"/>
      <w:szCs w:val="24"/>
    </w:rPr>
  </w:style>
  <w:style w:type="character" w:styleId="1049">
    <w:name w:val="Heading 6 Char"/>
    <w:next w:val="1049"/>
    <w:link w:val="1038"/>
    <w:uiPriority w:val="9"/>
    <w:qFormat/>
    <w:rPr>
      <w:rFonts w:ascii="Arial" w:hAnsi="Arial" w:eastAsia="Arial" w:cs="Arial"/>
      <w:b/>
      <w:bCs/>
      <w:sz w:val="22"/>
      <w:szCs w:val="22"/>
    </w:rPr>
  </w:style>
  <w:style w:type="character" w:styleId="1050">
    <w:name w:val="Heading 7 Char"/>
    <w:next w:val="1050"/>
    <w:link w:val="1039"/>
    <w:uiPriority w:val="9"/>
    <w:qFormat/>
    <w:rPr>
      <w:rFonts w:ascii="Arial" w:hAnsi="Arial" w:eastAsia="Arial" w:cs="Arial"/>
      <w:b/>
      <w:bCs/>
      <w:i/>
      <w:iCs/>
      <w:sz w:val="22"/>
      <w:szCs w:val="22"/>
    </w:rPr>
  </w:style>
  <w:style w:type="character" w:styleId="1051">
    <w:name w:val="Heading 8 Char"/>
    <w:next w:val="1051"/>
    <w:link w:val="1040"/>
    <w:uiPriority w:val="9"/>
    <w:qFormat/>
    <w:rPr>
      <w:rFonts w:ascii="Arial" w:hAnsi="Arial" w:eastAsia="Arial" w:cs="Arial"/>
      <w:i/>
      <w:iCs/>
      <w:sz w:val="22"/>
      <w:szCs w:val="22"/>
    </w:rPr>
  </w:style>
  <w:style w:type="character" w:styleId="1052">
    <w:name w:val="Heading 9 Char"/>
    <w:next w:val="1052"/>
    <w:link w:val="1041"/>
    <w:uiPriority w:val="9"/>
    <w:qFormat/>
    <w:rPr>
      <w:rFonts w:ascii="Arial" w:hAnsi="Arial" w:eastAsia="Arial" w:cs="Arial"/>
      <w:i/>
      <w:iCs/>
      <w:sz w:val="21"/>
      <w:szCs w:val="21"/>
    </w:rPr>
  </w:style>
  <w:style w:type="paragraph" w:styleId="1053">
    <w:name w:val="目录 7"/>
    <w:basedOn w:val="1032"/>
    <w:next w:val="1032"/>
    <w:link w:val="1032"/>
    <w:uiPriority w:val="39"/>
    <w:unhideWhenUsed/>
    <w:qFormat/>
    <w:pPr>
      <w:ind w:left="1701" w:right="0" w:firstLine="0"/>
      <w:spacing w:after="57"/>
    </w:pPr>
  </w:style>
  <w:style w:type="paragraph" w:styleId="1054">
    <w:name w:val="正文缩进"/>
    <w:basedOn w:val="1032"/>
    <w:next w:val="1032"/>
    <w:link w:val="1032"/>
    <w:qFormat/>
    <w:pPr>
      <w:ind w:firstLine="420"/>
      <w:jc w:val="left"/>
    </w:pPr>
    <w:rPr>
      <w:rFonts w:ascii="宋体"/>
      <w:sz w:val="24"/>
    </w:rPr>
  </w:style>
  <w:style w:type="paragraph" w:styleId="1055">
    <w:name w:val="题注"/>
    <w:basedOn w:val="1032"/>
    <w:next w:val="1032"/>
    <w:link w:val="1032"/>
    <w:uiPriority w:val="35"/>
    <w:unhideWhenUsed/>
    <w:qFormat/>
    <w:pPr>
      <w:spacing w:line="276" w:lineRule="auto"/>
    </w:pPr>
    <w:rPr>
      <w:b/>
      <w:bCs/>
      <w:color w:val="4f81bd"/>
      <w:sz w:val="18"/>
      <w:szCs w:val="18"/>
    </w:rPr>
  </w:style>
  <w:style w:type="paragraph" w:styleId="1056">
    <w:name w:val="目录 5"/>
    <w:basedOn w:val="1032"/>
    <w:next w:val="1032"/>
    <w:link w:val="1032"/>
    <w:uiPriority w:val="39"/>
    <w:unhideWhenUsed/>
    <w:qFormat/>
    <w:pPr>
      <w:ind w:left="1134" w:right="0" w:firstLine="0"/>
      <w:spacing w:after="57"/>
    </w:pPr>
  </w:style>
  <w:style w:type="paragraph" w:styleId="1057">
    <w:name w:val="目录 3"/>
    <w:basedOn w:val="1032"/>
    <w:next w:val="1032"/>
    <w:link w:val="1032"/>
    <w:uiPriority w:val="39"/>
    <w:unhideWhenUsed/>
    <w:qFormat/>
    <w:pPr>
      <w:ind w:left="567" w:right="0" w:firstLine="0"/>
      <w:spacing w:after="57"/>
    </w:pPr>
  </w:style>
  <w:style w:type="paragraph" w:styleId="1058">
    <w:name w:val="纯文本"/>
    <w:basedOn w:val="1032"/>
    <w:next w:val="1058"/>
    <w:link w:val="1032"/>
    <w:qFormat/>
    <w:rPr>
      <w:rFonts w:hint="eastAsia" w:ascii="宋体" w:hAnsi="Courier New"/>
      <w:szCs w:val="20"/>
    </w:rPr>
  </w:style>
  <w:style w:type="paragraph" w:styleId="1059">
    <w:name w:val="目录 8"/>
    <w:basedOn w:val="1032"/>
    <w:next w:val="1032"/>
    <w:link w:val="1032"/>
    <w:uiPriority w:val="39"/>
    <w:unhideWhenUsed/>
    <w:qFormat/>
    <w:pPr>
      <w:ind w:left="1984" w:right="0" w:firstLine="0"/>
      <w:spacing w:after="57"/>
    </w:pPr>
  </w:style>
  <w:style w:type="paragraph" w:styleId="1060">
    <w:name w:val="尾注文本"/>
    <w:basedOn w:val="1032"/>
    <w:next w:val="1060"/>
    <w:link w:val="1061"/>
    <w:uiPriority w:val="99"/>
    <w:unhideWhenUsed/>
    <w:qFormat/>
    <w:pPr>
      <w:spacing w:after="0" w:line="240" w:lineRule="auto"/>
    </w:pPr>
    <w:rPr>
      <w:sz w:val="20"/>
    </w:rPr>
  </w:style>
  <w:style w:type="character" w:styleId="1061">
    <w:name w:val="Endnote Text Char"/>
    <w:next w:val="1061"/>
    <w:link w:val="1060"/>
    <w:uiPriority w:val="99"/>
    <w:qFormat/>
    <w:rPr>
      <w:sz w:val="20"/>
    </w:rPr>
  </w:style>
  <w:style w:type="paragraph" w:styleId="1062">
    <w:name w:val="页脚"/>
    <w:basedOn w:val="1032"/>
    <w:next w:val="1062"/>
    <w:link w:val="1063"/>
    <w:uiPriority w:val="99"/>
    <w:unhideWhenUsed/>
    <w:qFormat/>
    <w:pPr>
      <w:spacing w:after="0" w:line="240" w:lineRule="auto"/>
      <w:tabs>
        <w:tab w:val="center" w:pos="7143" w:leader="none"/>
        <w:tab w:val="right" w:pos="14287" w:leader="none"/>
      </w:tabs>
    </w:pPr>
  </w:style>
  <w:style w:type="character" w:styleId="1063">
    <w:name w:val="Footer Char"/>
    <w:next w:val="1063"/>
    <w:link w:val="1062"/>
    <w:uiPriority w:val="99"/>
    <w:qFormat/>
  </w:style>
  <w:style w:type="paragraph" w:styleId="1064">
    <w:name w:val="页眉"/>
    <w:basedOn w:val="1032"/>
    <w:next w:val="1064"/>
    <w:link w:val="1065"/>
    <w:uiPriority w:val="99"/>
    <w:unhideWhenUsed/>
    <w:qFormat/>
    <w:pPr>
      <w:spacing w:after="0" w:line="240" w:lineRule="auto"/>
      <w:tabs>
        <w:tab w:val="center" w:pos="7143" w:leader="none"/>
        <w:tab w:val="right" w:pos="14287" w:leader="none"/>
      </w:tabs>
    </w:pPr>
  </w:style>
  <w:style w:type="character" w:styleId="1065">
    <w:name w:val="Header Char"/>
    <w:next w:val="1065"/>
    <w:link w:val="1064"/>
    <w:uiPriority w:val="99"/>
    <w:qFormat/>
  </w:style>
  <w:style w:type="paragraph" w:styleId="1066">
    <w:name w:val="目录 1"/>
    <w:basedOn w:val="1032"/>
    <w:next w:val="1032"/>
    <w:link w:val="1032"/>
    <w:uiPriority w:val="39"/>
    <w:unhideWhenUsed/>
    <w:qFormat/>
    <w:pPr>
      <w:ind w:left="0" w:right="0" w:firstLine="0"/>
      <w:spacing w:after="57"/>
    </w:pPr>
  </w:style>
  <w:style w:type="paragraph" w:styleId="1067">
    <w:name w:val="目录 4"/>
    <w:basedOn w:val="1032"/>
    <w:next w:val="1032"/>
    <w:link w:val="1032"/>
    <w:uiPriority w:val="39"/>
    <w:unhideWhenUsed/>
    <w:qFormat/>
    <w:pPr>
      <w:ind w:left="850" w:right="0" w:firstLine="0"/>
      <w:spacing w:after="57"/>
    </w:pPr>
  </w:style>
  <w:style w:type="paragraph" w:styleId="1068">
    <w:name w:val="副标题"/>
    <w:basedOn w:val="1032"/>
    <w:next w:val="1032"/>
    <w:link w:val="1069"/>
    <w:uiPriority w:val="11"/>
    <w:qFormat/>
    <w:pPr>
      <w:spacing w:before="200" w:after="200"/>
    </w:pPr>
    <w:rPr>
      <w:sz w:val="24"/>
      <w:szCs w:val="24"/>
    </w:rPr>
  </w:style>
  <w:style w:type="character" w:styleId="1069">
    <w:name w:val="Subtitle Char"/>
    <w:next w:val="1069"/>
    <w:link w:val="1068"/>
    <w:uiPriority w:val="11"/>
    <w:qFormat/>
    <w:rPr>
      <w:sz w:val="24"/>
      <w:szCs w:val="24"/>
    </w:rPr>
  </w:style>
  <w:style w:type="paragraph" w:styleId="1070">
    <w:name w:val="脚注文本"/>
    <w:basedOn w:val="1032"/>
    <w:next w:val="1070"/>
    <w:link w:val="1071"/>
    <w:uiPriority w:val="99"/>
    <w:unhideWhenUsed/>
    <w:qFormat/>
    <w:pPr>
      <w:spacing w:after="40" w:line="240" w:lineRule="auto"/>
    </w:pPr>
    <w:rPr>
      <w:sz w:val="18"/>
    </w:rPr>
  </w:style>
  <w:style w:type="character" w:styleId="1071">
    <w:name w:val="Footnote Text Char"/>
    <w:next w:val="1071"/>
    <w:link w:val="1070"/>
    <w:uiPriority w:val="99"/>
    <w:qFormat/>
    <w:rPr>
      <w:sz w:val="18"/>
    </w:rPr>
  </w:style>
  <w:style w:type="paragraph" w:styleId="1072">
    <w:name w:val="目录 6"/>
    <w:basedOn w:val="1032"/>
    <w:next w:val="1032"/>
    <w:link w:val="1032"/>
    <w:uiPriority w:val="39"/>
    <w:unhideWhenUsed/>
    <w:qFormat/>
    <w:pPr>
      <w:ind w:left="1417" w:right="0" w:firstLine="0"/>
      <w:spacing w:after="57"/>
    </w:pPr>
  </w:style>
  <w:style w:type="paragraph" w:styleId="1073">
    <w:name w:val="图表目录"/>
    <w:basedOn w:val="1032"/>
    <w:next w:val="1032"/>
    <w:link w:val="1032"/>
    <w:uiPriority w:val="99"/>
    <w:unhideWhenUsed/>
    <w:qFormat/>
    <w:pPr>
      <w:spacing w:after="0" w:afterAutospacing="0"/>
    </w:pPr>
  </w:style>
  <w:style w:type="paragraph" w:styleId="1074">
    <w:name w:val="目录 2"/>
    <w:basedOn w:val="1032"/>
    <w:next w:val="1032"/>
    <w:link w:val="1032"/>
    <w:uiPriority w:val="39"/>
    <w:unhideWhenUsed/>
    <w:qFormat/>
    <w:pPr>
      <w:ind w:left="283" w:right="0" w:firstLine="0"/>
      <w:spacing w:after="57"/>
    </w:pPr>
  </w:style>
  <w:style w:type="paragraph" w:styleId="1075">
    <w:name w:val="目录 9"/>
    <w:basedOn w:val="1032"/>
    <w:next w:val="1032"/>
    <w:link w:val="1032"/>
    <w:uiPriority w:val="39"/>
    <w:unhideWhenUsed/>
    <w:qFormat/>
    <w:pPr>
      <w:ind w:left="2268" w:right="0" w:firstLine="0"/>
      <w:spacing w:after="57"/>
    </w:pPr>
  </w:style>
  <w:style w:type="paragraph" w:styleId="1076">
    <w:name w:val="标题"/>
    <w:basedOn w:val="1032"/>
    <w:next w:val="1032"/>
    <w:link w:val="1077"/>
    <w:uiPriority w:val="10"/>
    <w:qFormat/>
    <w:pPr>
      <w:contextualSpacing/>
      <w:spacing w:before="300" w:after="200"/>
    </w:pPr>
    <w:rPr>
      <w:sz w:val="48"/>
      <w:szCs w:val="48"/>
    </w:rPr>
  </w:style>
  <w:style w:type="character" w:styleId="1077">
    <w:name w:val="Title Char"/>
    <w:next w:val="1077"/>
    <w:link w:val="1076"/>
    <w:uiPriority w:val="10"/>
    <w:qFormat/>
    <w:rPr>
      <w:sz w:val="48"/>
      <w:szCs w:val="48"/>
    </w:rPr>
  </w:style>
  <w:style w:type="table" w:styleId="1078">
    <w:name w:val="网格型"/>
    <w:next w:val="1078"/>
    <w:link w:val="1032"/>
    <w:uiPriority w:val="59"/>
    <w:qFormat/>
    <w:pPr>
      <w:spacing w:after="0" w:line="240" w:lineRule="auto"/>
    </w:pPr>
    <w:tblPr/>
  </w:style>
  <w:style w:type="character" w:styleId="1079">
    <w:name w:val="尾注引用"/>
    <w:next w:val="1079"/>
    <w:link w:val="1032"/>
    <w:uiPriority w:val="99"/>
    <w:unhideWhenUsed/>
    <w:qFormat/>
    <w:rPr>
      <w:vertAlign w:val="superscript"/>
    </w:rPr>
  </w:style>
  <w:style w:type="character" w:styleId="1080">
    <w:name w:val="超链接"/>
    <w:next w:val="1080"/>
    <w:link w:val="1032"/>
    <w:uiPriority w:val="99"/>
    <w:unhideWhenUsed/>
    <w:qFormat/>
    <w:rPr>
      <w:color w:val="0000ff"/>
      <w:u w:val="single"/>
    </w:rPr>
  </w:style>
  <w:style w:type="character" w:styleId="1081">
    <w:name w:val="脚注引用"/>
    <w:next w:val="1081"/>
    <w:link w:val="1032"/>
    <w:uiPriority w:val="99"/>
    <w:unhideWhenUsed/>
    <w:qFormat/>
    <w:rPr>
      <w:vertAlign w:val="superscript"/>
    </w:rPr>
  </w:style>
  <w:style w:type="character" w:styleId="1082">
    <w:name w:val="Caption Char"/>
    <w:next w:val="1082"/>
    <w:link w:val="1062"/>
    <w:uiPriority w:val="99"/>
    <w:qFormat/>
  </w:style>
  <w:style w:type="character" w:styleId="1083">
    <w:name w:val="font121"/>
    <w:next w:val="1083"/>
    <w:link w:val="1032"/>
    <w:qFormat/>
    <w:rPr>
      <w:rFonts w:ascii="PingFang SC" w:hAnsi="PingFang SC" w:eastAsia="PingFang SC" w:cs="PingFang SC"/>
      <w:color w:val="000000"/>
      <w:sz w:val="24"/>
      <w:szCs w:val="24"/>
      <w:u w:val="none"/>
    </w:rPr>
  </w:style>
  <w:style w:type="paragraph" w:styleId="1084">
    <w:name w:val="List Paragraph"/>
    <w:basedOn w:val="1032"/>
    <w:next w:val="1084"/>
    <w:link w:val="1032"/>
    <w:uiPriority w:val="34"/>
    <w:qFormat/>
    <w:pPr>
      <w:contextualSpacing/>
      <w:ind w:left="720"/>
    </w:pPr>
  </w:style>
  <w:style w:type="paragraph" w:styleId="1085">
    <w:name w:val="No Spacing"/>
    <w:next w:val="1085"/>
    <w:link w:val="1032"/>
    <w:uiPriority w:val="1"/>
    <w:qFormat/>
    <w:pPr>
      <w:spacing w:before="0" w:after="0" w:line="240" w:lineRule="auto"/>
    </w:pPr>
    <w:rPr>
      <w:rFonts w:ascii="Times New Roman" w:hAnsi="Times New Roman" w:eastAsia="宋体" w:cs="Times New Roman"/>
    </w:rPr>
  </w:style>
  <w:style w:type="paragraph" w:styleId="1086">
    <w:name w:val="Quote"/>
    <w:basedOn w:val="1032"/>
    <w:next w:val="1032"/>
    <w:link w:val="1087"/>
    <w:uiPriority w:val="29"/>
    <w:qFormat/>
    <w:pPr>
      <w:ind w:left="720" w:right="720"/>
    </w:pPr>
    <w:rPr>
      <w:i/>
    </w:rPr>
  </w:style>
  <w:style w:type="character" w:styleId="1087">
    <w:name w:val="Quote Char"/>
    <w:next w:val="1087"/>
    <w:link w:val="1086"/>
    <w:uiPriority w:val="29"/>
    <w:qFormat/>
    <w:rPr>
      <w:i/>
    </w:rPr>
  </w:style>
  <w:style w:type="paragraph" w:styleId="1088">
    <w:name w:val="Intense Quote"/>
    <w:basedOn w:val="1032"/>
    <w:next w:val="1032"/>
    <w:link w:val="10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9">
    <w:name w:val="Intense Quote Char"/>
    <w:next w:val="1089"/>
    <w:link w:val="1088"/>
    <w:uiPriority w:val="30"/>
    <w:qFormat/>
    <w:rPr>
      <w:i/>
    </w:rPr>
  </w:style>
  <w:style w:type="table" w:styleId="1090">
    <w:name w:val="Table Grid Light"/>
    <w:next w:val="1090"/>
    <w:link w:val="1032"/>
    <w:uiPriority w:val="59"/>
    <w:qFormat/>
    <w:pPr>
      <w:spacing w:after="0" w:line="240" w:lineRule="auto"/>
    </w:pPr>
    <w:tblPr/>
  </w:style>
  <w:style w:type="table" w:styleId="1091">
    <w:name w:val="Plain Table 1"/>
    <w:next w:val="1091"/>
    <w:link w:val="1032"/>
    <w:uiPriority w:val="59"/>
    <w:qFormat/>
    <w:pPr>
      <w:spacing w:after="0" w:line="240" w:lineRule="auto"/>
    </w:pPr>
    <w:tblPr/>
  </w:style>
  <w:style w:type="table" w:styleId="1092">
    <w:name w:val="Plain Table 2"/>
    <w:next w:val="1092"/>
    <w:link w:val="1032"/>
    <w:uiPriority w:val="59"/>
    <w:qFormat/>
    <w:pPr>
      <w:spacing w:after="0" w:line="240" w:lineRule="auto"/>
    </w:pPr>
    <w:tblPr/>
  </w:style>
  <w:style w:type="table" w:styleId="1093">
    <w:name w:val="Plain Table 3"/>
    <w:next w:val="1093"/>
    <w:link w:val="1032"/>
    <w:uiPriority w:val="99"/>
    <w:qFormat/>
    <w:pPr>
      <w:spacing w:after="0" w:line="240" w:lineRule="auto"/>
    </w:pPr>
    <w:tblPr/>
  </w:style>
  <w:style w:type="table" w:styleId="1094">
    <w:name w:val="Plain Table 4"/>
    <w:next w:val="1094"/>
    <w:link w:val="1032"/>
    <w:uiPriority w:val="99"/>
    <w:qFormat/>
    <w:pPr>
      <w:spacing w:after="0" w:line="240" w:lineRule="auto"/>
    </w:pPr>
    <w:tblPr/>
  </w:style>
  <w:style w:type="table" w:styleId="1095">
    <w:name w:val="Plain Table 5"/>
    <w:next w:val="1095"/>
    <w:link w:val="1032"/>
    <w:uiPriority w:val="99"/>
    <w:qFormat/>
    <w:pPr>
      <w:spacing w:after="0" w:line="240" w:lineRule="auto"/>
    </w:pPr>
    <w:tblPr/>
  </w:style>
  <w:style w:type="table" w:styleId="1096">
    <w:name w:val="Grid Table 1 Light"/>
    <w:next w:val="1096"/>
    <w:link w:val="1032"/>
    <w:uiPriority w:val="99"/>
    <w:qFormat/>
    <w:pPr>
      <w:spacing w:after="0" w:line="240" w:lineRule="auto"/>
    </w:pPr>
    <w:tblPr/>
  </w:style>
  <w:style w:type="table" w:styleId="1097">
    <w:name w:val="Grid Table 1 Light - Accent 1"/>
    <w:next w:val="1097"/>
    <w:link w:val="1032"/>
    <w:uiPriority w:val="99"/>
    <w:qFormat/>
    <w:pPr>
      <w:spacing w:after="0" w:line="240" w:lineRule="auto"/>
    </w:pPr>
    <w:tblPr/>
  </w:style>
  <w:style w:type="table" w:styleId="1098">
    <w:name w:val="Grid Table 1 Light - Accent 2"/>
    <w:next w:val="1098"/>
    <w:link w:val="1032"/>
    <w:uiPriority w:val="99"/>
    <w:qFormat/>
    <w:pPr>
      <w:spacing w:after="0" w:line="240" w:lineRule="auto"/>
    </w:pPr>
    <w:tblPr/>
  </w:style>
  <w:style w:type="table" w:styleId="1099">
    <w:name w:val="Grid Table 1 Light - Accent 3"/>
    <w:next w:val="1099"/>
    <w:link w:val="1032"/>
    <w:uiPriority w:val="99"/>
    <w:qFormat/>
    <w:pPr>
      <w:spacing w:after="0" w:line="240" w:lineRule="auto"/>
    </w:pPr>
    <w:tblPr/>
  </w:style>
  <w:style w:type="table" w:styleId="1100">
    <w:name w:val="Grid Table 1 Light - Accent 4"/>
    <w:next w:val="1100"/>
    <w:link w:val="1032"/>
    <w:uiPriority w:val="99"/>
    <w:qFormat/>
    <w:pPr>
      <w:spacing w:after="0" w:line="240" w:lineRule="auto"/>
    </w:pPr>
    <w:tblPr/>
  </w:style>
  <w:style w:type="table" w:styleId="1101">
    <w:name w:val="Grid Table 1 Light - Accent 5"/>
    <w:next w:val="1101"/>
    <w:link w:val="1032"/>
    <w:uiPriority w:val="99"/>
    <w:qFormat/>
    <w:pPr>
      <w:spacing w:after="0" w:line="240" w:lineRule="auto"/>
    </w:pPr>
    <w:tblPr/>
  </w:style>
  <w:style w:type="table" w:styleId="1102">
    <w:name w:val="Grid Table 1 Light - Accent 6"/>
    <w:next w:val="1102"/>
    <w:link w:val="1032"/>
    <w:uiPriority w:val="99"/>
    <w:qFormat/>
    <w:pPr>
      <w:spacing w:after="0" w:line="240" w:lineRule="auto"/>
    </w:pPr>
    <w:tblPr/>
  </w:style>
  <w:style w:type="table" w:styleId="1103">
    <w:name w:val="Grid Table 2"/>
    <w:next w:val="1103"/>
    <w:link w:val="1032"/>
    <w:uiPriority w:val="99"/>
    <w:qFormat/>
    <w:pPr>
      <w:spacing w:after="0" w:line="240" w:lineRule="auto"/>
    </w:pPr>
    <w:tblPr/>
  </w:style>
  <w:style w:type="table" w:styleId="1104">
    <w:name w:val="Grid Table 2 - Accent 1"/>
    <w:next w:val="1104"/>
    <w:link w:val="1032"/>
    <w:uiPriority w:val="99"/>
    <w:qFormat/>
    <w:pPr>
      <w:spacing w:after="0" w:line="240" w:lineRule="auto"/>
    </w:pPr>
    <w:tblPr/>
  </w:style>
  <w:style w:type="table" w:styleId="1105">
    <w:name w:val="Grid Table 2 - Accent 2"/>
    <w:next w:val="1105"/>
    <w:link w:val="1032"/>
    <w:uiPriority w:val="99"/>
    <w:qFormat/>
    <w:pPr>
      <w:spacing w:after="0" w:line="240" w:lineRule="auto"/>
    </w:pPr>
    <w:tblPr/>
  </w:style>
  <w:style w:type="table" w:styleId="1106">
    <w:name w:val="Grid Table 2 - Accent 3"/>
    <w:next w:val="1106"/>
    <w:link w:val="1032"/>
    <w:uiPriority w:val="99"/>
    <w:qFormat/>
    <w:pPr>
      <w:spacing w:after="0" w:line="240" w:lineRule="auto"/>
    </w:pPr>
    <w:tblPr/>
  </w:style>
  <w:style w:type="table" w:styleId="1107">
    <w:name w:val="Grid Table 2 - Accent 4"/>
    <w:next w:val="1107"/>
    <w:link w:val="1032"/>
    <w:uiPriority w:val="99"/>
    <w:qFormat/>
    <w:pPr>
      <w:spacing w:after="0" w:line="240" w:lineRule="auto"/>
    </w:pPr>
    <w:tblPr/>
  </w:style>
  <w:style w:type="table" w:styleId="1108">
    <w:name w:val="Grid Table 2 - Accent 5"/>
    <w:next w:val="1108"/>
    <w:link w:val="1032"/>
    <w:uiPriority w:val="99"/>
    <w:qFormat/>
    <w:pPr>
      <w:spacing w:after="0" w:line="240" w:lineRule="auto"/>
    </w:pPr>
    <w:tblPr/>
  </w:style>
  <w:style w:type="table" w:styleId="1109">
    <w:name w:val="Grid Table 2 - Accent 6"/>
    <w:next w:val="1109"/>
    <w:link w:val="1032"/>
    <w:uiPriority w:val="99"/>
    <w:qFormat/>
    <w:pPr>
      <w:spacing w:after="0" w:line="240" w:lineRule="auto"/>
    </w:pPr>
    <w:tblPr/>
  </w:style>
  <w:style w:type="table" w:styleId="1110">
    <w:name w:val="Grid Table 3"/>
    <w:next w:val="1110"/>
    <w:link w:val="1032"/>
    <w:uiPriority w:val="99"/>
    <w:qFormat/>
    <w:pPr>
      <w:spacing w:after="0" w:line="240" w:lineRule="auto"/>
    </w:pPr>
    <w:tblPr/>
  </w:style>
  <w:style w:type="table" w:styleId="1111">
    <w:name w:val="Grid Table 3 - Accent 1"/>
    <w:next w:val="1111"/>
    <w:link w:val="1032"/>
    <w:uiPriority w:val="99"/>
    <w:qFormat/>
    <w:pPr>
      <w:spacing w:after="0" w:line="240" w:lineRule="auto"/>
    </w:pPr>
    <w:tblPr/>
  </w:style>
  <w:style w:type="table" w:styleId="1112">
    <w:name w:val="Grid Table 3 - Accent 2"/>
    <w:next w:val="1112"/>
    <w:link w:val="1032"/>
    <w:uiPriority w:val="99"/>
    <w:qFormat/>
    <w:pPr>
      <w:spacing w:after="0" w:line="240" w:lineRule="auto"/>
    </w:pPr>
    <w:tblPr/>
  </w:style>
  <w:style w:type="table" w:styleId="1113">
    <w:name w:val="Grid Table 3 - Accent 3"/>
    <w:next w:val="1113"/>
    <w:link w:val="1032"/>
    <w:uiPriority w:val="99"/>
    <w:qFormat/>
    <w:pPr>
      <w:spacing w:after="0" w:line="240" w:lineRule="auto"/>
    </w:pPr>
    <w:tblPr/>
  </w:style>
  <w:style w:type="table" w:styleId="1114">
    <w:name w:val="Grid Table 3 - Accent 4"/>
    <w:next w:val="1114"/>
    <w:link w:val="1032"/>
    <w:uiPriority w:val="99"/>
    <w:qFormat/>
    <w:pPr>
      <w:spacing w:after="0" w:line="240" w:lineRule="auto"/>
    </w:pPr>
    <w:tblPr/>
  </w:style>
  <w:style w:type="table" w:styleId="1115">
    <w:name w:val="Grid Table 3 - Accent 5"/>
    <w:next w:val="1115"/>
    <w:link w:val="1032"/>
    <w:uiPriority w:val="99"/>
    <w:qFormat/>
    <w:pPr>
      <w:spacing w:after="0" w:line="240" w:lineRule="auto"/>
    </w:pPr>
    <w:tblPr/>
  </w:style>
  <w:style w:type="table" w:styleId="1116">
    <w:name w:val="Grid Table 3 - Accent 6"/>
    <w:next w:val="1116"/>
    <w:link w:val="1032"/>
    <w:uiPriority w:val="99"/>
    <w:qFormat/>
    <w:pPr>
      <w:spacing w:after="0" w:line="240" w:lineRule="auto"/>
    </w:pPr>
    <w:tblPr/>
  </w:style>
  <w:style w:type="table" w:styleId="1117">
    <w:name w:val="Grid Table 4"/>
    <w:next w:val="1117"/>
    <w:link w:val="1032"/>
    <w:uiPriority w:val="59"/>
    <w:qFormat/>
    <w:pPr>
      <w:spacing w:after="0" w:line="240" w:lineRule="auto"/>
    </w:pPr>
    <w:tblPr/>
  </w:style>
  <w:style w:type="table" w:styleId="1118">
    <w:name w:val="Grid Table 4 - Accent 1"/>
    <w:next w:val="1118"/>
    <w:link w:val="1032"/>
    <w:uiPriority w:val="59"/>
    <w:qFormat/>
    <w:pPr>
      <w:spacing w:after="0" w:line="240" w:lineRule="auto"/>
    </w:pPr>
    <w:tblPr/>
  </w:style>
  <w:style w:type="table" w:styleId="1119">
    <w:name w:val="Grid Table 4 - Accent 2"/>
    <w:next w:val="1119"/>
    <w:link w:val="1032"/>
    <w:uiPriority w:val="59"/>
    <w:qFormat/>
    <w:pPr>
      <w:spacing w:after="0" w:line="240" w:lineRule="auto"/>
    </w:pPr>
    <w:tblPr/>
  </w:style>
  <w:style w:type="table" w:styleId="1120">
    <w:name w:val="Grid Table 4 - Accent 3"/>
    <w:next w:val="1120"/>
    <w:link w:val="1032"/>
    <w:uiPriority w:val="59"/>
    <w:qFormat/>
    <w:pPr>
      <w:spacing w:after="0" w:line="240" w:lineRule="auto"/>
    </w:pPr>
    <w:tblPr/>
  </w:style>
  <w:style w:type="table" w:styleId="1121">
    <w:name w:val="Grid Table 4 - Accent 4"/>
    <w:next w:val="1121"/>
    <w:link w:val="1032"/>
    <w:uiPriority w:val="59"/>
    <w:qFormat/>
    <w:pPr>
      <w:spacing w:after="0" w:line="240" w:lineRule="auto"/>
    </w:pPr>
    <w:tblPr/>
  </w:style>
  <w:style w:type="table" w:styleId="1122">
    <w:name w:val="Grid Table 4 - Accent 5"/>
    <w:next w:val="1122"/>
    <w:link w:val="1032"/>
    <w:uiPriority w:val="59"/>
    <w:qFormat/>
    <w:pPr>
      <w:spacing w:after="0" w:line="240" w:lineRule="auto"/>
    </w:pPr>
    <w:tblPr/>
  </w:style>
  <w:style w:type="table" w:styleId="1123">
    <w:name w:val="Grid Table 4 - Accent 6"/>
    <w:next w:val="1123"/>
    <w:link w:val="1032"/>
    <w:uiPriority w:val="59"/>
    <w:qFormat/>
    <w:pPr>
      <w:spacing w:after="0" w:line="240" w:lineRule="auto"/>
    </w:pPr>
    <w:tblPr/>
  </w:style>
  <w:style w:type="table" w:styleId="1124">
    <w:name w:val="Grid Table 5 Dark"/>
    <w:next w:val="1124"/>
    <w:link w:val="1032"/>
    <w:uiPriority w:val="99"/>
    <w:qFormat/>
    <w:pPr>
      <w:spacing w:after="0" w:line="240" w:lineRule="auto"/>
    </w:pPr>
    <w:tblPr/>
  </w:style>
  <w:style w:type="table" w:styleId="1125">
    <w:name w:val="Grid Table 5 Dark- Accent 1"/>
    <w:next w:val="1125"/>
    <w:link w:val="1032"/>
    <w:uiPriority w:val="99"/>
    <w:qFormat/>
    <w:pPr>
      <w:spacing w:after="0" w:line="240" w:lineRule="auto"/>
    </w:pPr>
    <w:tblPr/>
  </w:style>
  <w:style w:type="table" w:styleId="1126">
    <w:name w:val="Grid Table 5 Dark - Accent 2"/>
    <w:next w:val="1126"/>
    <w:link w:val="1032"/>
    <w:uiPriority w:val="99"/>
    <w:qFormat/>
    <w:pPr>
      <w:spacing w:after="0" w:line="240" w:lineRule="auto"/>
    </w:pPr>
    <w:tblPr/>
  </w:style>
  <w:style w:type="table" w:styleId="1127">
    <w:name w:val="Grid Table 5 Dark - Accent 3"/>
    <w:next w:val="1127"/>
    <w:link w:val="1032"/>
    <w:uiPriority w:val="99"/>
    <w:qFormat/>
    <w:pPr>
      <w:spacing w:after="0" w:line="240" w:lineRule="auto"/>
    </w:pPr>
    <w:tblPr/>
  </w:style>
  <w:style w:type="table" w:styleId="1128">
    <w:name w:val="Grid Table 5 Dark- Accent 4"/>
    <w:next w:val="1128"/>
    <w:link w:val="1032"/>
    <w:uiPriority w:val="99"/>
    <w:qFormat/>
    <w:pPr>
      <w:spacing w:after="0" w:line="240" w:lineRule="auto"/>
    </w:pPr>
    <w:tblPr/>
  </w:style>
  <w:style w:type="table" w:styleId="1129">
    <w:name w:val="Grid Table 5 Dark - Accent 5"/>
    <w:next w:val="1129"/>
    <w:link w:val="1032"/>
    <w:uiPriority w:val="99"/>
    <w:qFormat/>
    <w:pPr>
      <w:spacing w:after="0" w:line="240" w:lineRule="auto"/>
    </w:pPr>
    <w:tblPr/>
  </w:style>
  <w:style w:type="table" w:styleId="1130">
    <w:name w:val="Grid Table 5 Dark - Accent 6"/>
    <w:next w:val="1130"/>
    <w:link w:val="1032"/>
    <w:uiPriority w:val="99"/>
    <w:qFormat/>
    <w:pPr>
      <w:spacing w:after="0" w:line="240" w:lineRule="auto"/>
    </w:pPr>
    <w:tblPr/>
  </w:style>
  <w:style w:type="table" w:styleId="1131">
    <w:name w:val="Grid Table 6 Colorful"/>
    <w:next w:val="1131"/>
    <w:link w:val="1032"/>
    <w:uiPriority w:val="99"/>
    <w:qFormat/>
    <w:pPr>
      <w:spacing w:after="0" w:line="240" w:lineRule="auto"/>
    </w:pPr>
    <w:tblPr/>
  </w:style>
  <w:style w:type="table" w:styleId="1132">
    <w:name w:val="Grid Table 6 Colorful - Accent 1"/>
    <w:next w:val="1132"/>
    <w:link w:val="1032"/>
    <w:uiPriority w:val="99"/>
    <w:qFormat/>
    <w:pPr>
      <w:spacing w:after="0" w:line="240" w:lineRule="auto"/>
    </w:pPr>
    <w:tblPr/>
  </w:style>
  <w:style w:type="table" w:styleId="1133">
    <w:name w:val="Grid Table 6 Colorful - Accent 2"/>
    <w:next w:val="1133"/>
    <w:link w:val="1032"/>
    <w:uiPriority w:val="99"/>
    <w:qFormat/>
    <w:pPr>
      <w:spacing w:after="0" w:line="240" w:lineRule="auto"/>
    </w:pPr>
    <w:tblPr/>
  </w:style>
  <w:style w:type="table" w:styleId="1134">
    <w:name w:val="Grid Table 6 Colorful - Accent 3"/>
    <w:next w:val="1134"/>
    <w:link w:val="1032"/>
    <w:uiPriority w:val="99"/>
    <w:qFormat/>
    <w:pPr>
      <w:spacing w:after="0" w:line="240" w:lineRule="auto"/>
    </w:pPr>
    <w:tblPr/>
  </w:style>
  <w:style w:type="table" w:styleId="1135">
    <w:name w:val="Grid Table 6 Colorful - Accent 4"/>
    <w:next w:val="1135"/>
    <w:link w:val="1032"/>
    <w:uiPriority w:val="99"/>
    <w:qFormat/>
    <w:pPr>
      <w:spacing w:after="0" w:line="240" w:lineRule="auto"/>
    </w:pPr>
    <w:tblPr/>
  </w:style>
  <w:style w:type="table" w:styleId="1136">
    <w:name w:val="Grid Table 6 Colorful - Accent 5"/>
    <w:next w:val="1136"/>
    <w:link w:val="1032"/>
    <w:uiPriority w:val="99"/>
    <w:qFormat/>
    <w:pPr>
      <w:spacing w:after="0" w:line="240" w:lineRule="auto"/>
    </w:pPr>
    <w:tblPr/>
  </w:style>
  <w:style w:type="table" w:styleId="1137">
    <w:name w:val="Grid Table 6 Colorful - Accent 6"/>
    <w:next w:val="1137"/>
    <w:link w:val="1032"/>
    <w:uiPriority w:val="99"/>
    <w:qFormat/>
    <w:pPr>
      <w:spacing w:after="0" w:line="240" w:lineRule="auto"/>
    </w:pPr>
    <w:tblPr/>
  </w:style>
  <w:style w:type="table" w:styleId="1138">
    <w:name w:val="Grid Table 7 Colorful"/>
    <w:next w:val="1138"/>
    <w:link w:val="1032"/>
    <w:uiPriority w:val="99"/>
    <w:qFormat/>
    <w:pPr>
      <w:spacing w:after="0" w:line="240" w:lineRule="auto"/>
    </w:pPr>
    <w:tblPr/>
  </w:style>
  <w:style w:type="table" w:styleId="1139">
    <w:name w:val="Grid Table 7 Colorful - Accent 1"/>
    <w:next w:val="1139"/>
    <w:link w:val="1032"/>
    <w:uiPriority w:val="99"/>
    <w:qFormat/>
    <w:pPr>
      <w:spacing w:after="0" w:line="240" w:lineRule="auto"/>
    </w:pPr>
    <w:tblPr/>
  </w:style>
  <w:style w:type="table" w:styleId="1140">
    <w:name w:val="Grid Table 7 Colorful - Accent 2"/>
    <w:next w:val="1140"/>
    <w:link w:val="1032"/>
    <w:uiPriority w:val="99"/>
    <w:qFormat/>
    <w:pPr>
      <w:spacing w:after="0" w:line="240" w:lineRule="auto"/>
    </w:pPr>
    <w:tblPr/>
  </w:style>
  <w:style w:type="table" w:styleId="1141">
    <w:name w:val="Grid Table 7 Colorful - Accent 3"/>
    <w:next w:val="1141"/>
    <w:link w:val="1032"/>
    <w:uiPriority w:val="99"/>
    <w:qFormat/>
    <w:pPr>
      <w:spacing w:after="0" w:line="240" w:lineRule="auto"/>
    </w:pPr>
    <w:tblPr/>
  </w:style>
  <w:style w:type="table" w:styleId="1142">
    <w:name w:val="Grid Table 7 Colorful - Accent 4"/>
    <w:next w:val="1142"/>
    <w:link w:val="1032"/>
    <w:uiPriority w:val="99"/>
    <w:qFormat/>
    <w:pPr>
      <w:spacing w:after="0" w:line="240" w:lineRule="auto"/>
    </w:pPr>
    <w:tblPr/>
  </w:style>
  <w:style w:type="table" w:styleId="1143">
    <w:name w:val="Grid Table 7 Colorful - Accent 5"/>
    <w:next w:val="1143"/>
    <w:link w:val="1032"/>
    <w:uiPriority w:val="99"/>
    <w:qFormat/>
    <w:pPr>
      <w:spacing w:after="0" w:line="240" w:lineRule="auto"/>
    </w:pPr>
    <w:tblPr/>
  </w:style>
  <w:style w:type="table" w:styleId="1144">
    <w:name w:val="Grid Table 7 Colorful - Accent 6"/>
    <w:next w:val="1144"/>
    <w:link w:val="1032"/>
    <w:uiPriority w:val="99"/>
    <w:qFormat/>
    <w:pPr>
      <w:spacing w:after="0" w:line="240" w:lineRule="auto"/>
    </w:pPr>
    <w:tblPr/>
  </w:style>
  <w:style w:type="table" w:styleId="1145">
    <w:name w:val="List Table 1 Light"/>
    <w:next w:val="1145"/>
    <w:link w:val="1032"/>
    <w:uiPriority w:val="99"/>
    <w:qFormat/>
    <w:pPr>
      <w:spacing w:after="0" w:line="240" w:lineRule="auto"/>
    </w:pPr>
    <w:tblPr/>
  </w:style>
  <w:style w:type="table" w:styleId="1146">
    <w:name w:val="List Table 1 Light - Accent 1"/>
    <w:next w:val="1146"/>
    <w:link w:val="1032"/>
    <w:uiPriority w:val="99"/>
    <w:qFormat/>
    <w:pPr>
      <w:spacing w:after="0" w:line="240" w:lineRule="auto"/>
    </w:pPr>
    <w:tblPr/>
  </w:style>
  <w:style w:type="table" w:styleId="1147">
    <w:name w:val="List Table 1 Light - Accent 2"/>
    <w:next w:val="1147"/>
    <w:link w:val="1032"/>
    <w:uiPriority w:val="99"/>
    <w:qFormat/>
    <w:pPr>
      <w:spacing w:after="0" w:line="240" w:lineRule="auto"/>
    </w:pPr>
    <w:tblPr/>
  </w:style>
  <w:style w:type="table" w:styleId="1148">
    <w:name w:val="List Table 1 Light - Accent 3"/>
    <w:next w:val="1148"/>
    <w:link w:val="1032"/>
    <w:uiPriority w:val="99"/>
    <w:qFormat/>
    <w:pPr>
      <w:spacing w:after="0" w:line="240" w:lineRule="auto"/>
    </w:pPr>
    <w:tblPr/>
  </w:style>
  <w:style w:type="table" w:styleId="1149">
    <w:name w:val="List Table 1 Light - Accent 4"/>
    <w:next w:val="1149"/>
    <w:link w:val="1032"/>
    <w:uiPriority w:val="99"/>
    <w:qFormat/>
    <w:pPr>
      <w:spacing w:after="0" w:line="240" w:lineRule="auto"/>
    </w:pPr>
    <w:tblPr/>
  </w:style>
  <w:style w:type="table" w:styleId="1150">
    <w:name w:val="List Table 1 Light - Accent 5"/>
    <w:next w:val="1150"/>
    <w:link w:val="1032"/>
    <w:uiPriority w:val="99"/>
    <w:qFormat/>
    <w:pPr>
      <w:spacing w:after="0" w:line="240" w:lineRule="auto"/>
    </w:pPr>
    <w:tblPr/>
  </w:style>
  <w:style w:type="table" w:styleId="1151">
    <w:name w:val="List Table 1 Light - Accent 6"/>
    <w:next w:val="1151"/>
    <w:link w:val="1032"/>
    <w:uiPriority w:val="99"/>
    <w:qFormat/>
    <w:pPr>
      <w:spacing w:after="0" w:line="240" w:lineRule="auto"/>
    </w:pPr>
    <w:tblPr/>
  </w:style>
  <w:style w:type="table" w:styleId="1152">
    <w:name w:val="List Table 2"/>
    <w:next w:val="1152"/>
    <w:link w:val="1032"/>
    <w:uiPriority w:val="99"/>
    <w:qFormat/>
    <w:pPr>
      <w:spacing w:after="0" w:line="240" w:lineRule="auto"/>
    </w:pPr>
    <w:tblPr/>
  </w:style>
  <w:style w:type="table" w:styleId="1153">
    <w:name w:val="List Table 2 - Accent 1"/>
    <w:next w:val="1153"/>
    <w:link w:val="1032"/>
    <w:uiPriority w:val="99"/>
    <w:qFormat/>
    <w:pPr>
      <w:spacing w:after="0" w:line="240" w:lineRule="auto"/>
    </w:pPr>
    <w:tblPr/>
  </w:style>
  <w:style w:type="table" w:styleId="1154">
    <w:name w:val="List Table 2 - Accent 2"/>
    <w:next w:val="1154"/>
    <w:link w:val="1032"/>
    <w:uiPriority w:val="99"/>
    <w:qFormat/>
    <w:pPr>
      <w:spacing w:after="0" w:line="240" w:lineRule="auto"/>
    </w:pPr>
    <w:tblPr/>
  </w:style>
  <w:style w:type="table" w:styleId="1155">
    <w:name w:val="List Table 2 - Accent 3"/>
    <w:next w:val="1155"/>
    <w:link w:val="1032"/>
    <w:uiPriority w:val="99"/>
    <w:qFormat/>
    <w:pPr>
      <w:spacing w:after="0" w:line="240" w:lineRule="auto"/>
    </w:pPr>
    <w:tblPr/>
  </w:style>
  <w:style w:type="table" w:styleId="1156">
    <w:name w:val="List Table 2 - Accent 4"/>
    <w:next w:val="1156"/>
    <w:link w:val="1032"/>
    <w:uiPriority w:val="99"/>
    <w:qFormat/>
    <w:pPr>
      <w:spacing w:after="0" w:line="240" w:lineRule="auto"/>
    </w:pPr>
    <w:tblPr/>
  </w:style>
  <w:style w:type="table" w:styleId="1157">
    <w:name w:val="List Table 2 - Accent 5"/>
    <w:next w:val="1157"/>
    <w:link w:val="1032"/>
    <w:uiPriority w:val="99"/>
    <w:qFormat/>
    <w:pPr>
      <w:spacing w:after="0" w:line="240" w:lineRule="auto"/>
    </w:pPr>
    <w:tblPr/>
  </w:style>
  <w:style w:type="table" w:styleId="1158">
    <w:name w:val="List Table 2 - Accent 6"/>
    <w:next w:val="1158"/>
    <w:link w:val="1032"/>
    <w:uiPriority w:val="99"/>
    <w:qFormat/>
    <w:pPr>
      <w:spacing w:after="0" w:line="240" w:lineRule="auto"/>
    </w:pPr>
    <w:tblPr/>
  </w:style>
  <w:style w:type="table" w:styleId="1159">
    <w:name w:val="List Table 3"/>
    <w:next w:val="1159"/>
    <w:link w:val="1032"/>
    <w:uiPriority w:val="99"/>
    <w:qFormat/>
    <w:pPr>
      <w:spacing w:after="0" w:line="240" w:lineRule="auto"/>
    </w:pPr>
    <w:tblPr/>
  </w:style>
  <w:style w:type="table" w:styleId="1160">
    <w:name w:val="List Table 3 - Accent 1"/>
    <w:next w:val="1160"/>
    <w:link w:val="1032"/>
    <w:uiPriority w:val="99"/>
    <w:qFormat/>
    <w:pPr>
      <w:spacing w:after="0" w:line="240" w:lineRule="auto"/>
    </w:pPr>
    <w:tblPr/>
  </w:style>
  <w:style w:type="table" w:styleId="1161">
    <w:name w:val="List Table 3 - Accent 2"/>
    <w:next w:val="1161"/>
    <w:link w:val="1032"/>
    <w:uiPriority w:val="99"/>
    <w:qFormat/>
    <w:pPr>
      <w:spacing w:after="0" w:line="240" w:lineRule="auto"/>
    </w:pPr>
    <w:tblPr/>
  </w:style>
  <w:style w:type="table" w:styleId="1162">
    <w:name w:val="List Table 3 - Accent 3"/>
    <w:next w:val="1162"/>
    <w:link w:val="1032"/>
    <w:uiPriority w:val="99"/>
    <w:qFormat/>
    <w:pPr>
      <w:spacing w:after="0" w:line="240" w:lineRule="auto"/>
    </w:pPr>
    <w:tblPr/>
  </w:style>
  <w:style w:type="table" w:styleId="1163">
    <w:name w:val="List Table 3 - Accent 4"/>
    <w:next w:val="1163"/>
    <w:link w:val="1032"/>
    <w:uiPriority w:val="99"/>
    <w:qFormat/>
    <w:pPr>
      <w:spacing w:after="0" w:line="240" w:lineRule="auto"/>
    </w:pPr>
    <w:tblPr/>
  </w:style>
  <w:style w:type="table" w:styleId="1164">
    <w:name w:val="List Table 3 - Accent 5"/>
    <w:next w:val="1164"/>
    <w:link w:val="1032"/>
    <w:uiPriority w:val="99"/>
    <w:qFormat/>
    <w:pPr>
      <w:spacing w:after="0" w:line="240" w:lineRule="auto"/>
    </w:pPr>
    <w:tblPr/>
  </w:style>
  <w:style w:type="table" w:styleId="1165">
    <w:name w:val="List Table 3 - Accent 6"/>
    <w:next w:val="1165"/>
    <w:link w:val="1032"/>
    <w:uiPriority w:val="99"/>
    <w:qFormat/>
    <w:pPr>
      <w:spacing w:after="0" w:line="240" w:lineRule="auto"/>
    </w:pPr>
    <w:tblPr/>
  </w:style>
  <w:style w:type="table" w:styleId="1166">
    <w:name w:val="List Table 4"/>
    <w:next w:val="1166"/>
    <w:link w:val="1032"/>
    <w:uiPriority w:val="99"/>
    <w:qFormat/>
    <w:pPr>
      <w:spacing w:after="0" w:line="240" w:lineRule="auto"/>
    </w:pPr>
    <w:tblPr/>
  </w:style>
  <w:style w:type="table" w:styleId="1167">
    <w:name w:val="List Table 4 - Accent 1"/>
    <w:next w:val="1167"/>
    <w:link w:val="1032"/>
    <w:uiPriority w:val="99"/>
    <w:qFormat/>
    <w:pPr>
      <w:spacing w:after="0" w:line="240" w:lineRule="auto"/>
    </w:pPr>
    <w:tblPr/>
  </w:style>
  <w:style w:type="table" w:styleId="1168">
    <w:name w:val="List Table 4 - Accent 2"/>
    <w:next w:val="1168"/>
    <w:link w:val="1032"/>
    <w:uiPriority w:val="99"/>
    <w:qFormat/>
    <w:pPr>
      <w:spacing w:after="0" w:line="240" w:lineRule="auto"/>
    </w:pPr>
    <w:tblPr/>
  </w:style>
  <w:style w:type="table" w:styleId="1169">
    <w:name w:val="List Table 4 - Accent 3"/>
    <w:next w:val="1169"/>
    <w:link w:val="1032"/>
    <w:uiPriority w:val="99"/>
    <w:qFormat/>
    <w:pPr>
      <w:spacing w:after="0" w:line="240" w:lineRule="auto"/>
    </w:pPr>
    <w:tblPr/>
  </w:style>
  <w:style w:type="table" w:styleId="1170">
    <w:name w:val="List Table 4 - Accent 4"/>
    <w:next w:val="1170"/>
    <w:link w:val="1032"/>
    <w:uiPriority w:val="99"/>
    <w:qFormat/>
    <w:pPr>
      <w:spacing w:after="0" w:line="240" w:lineRule="auto"/>
    </w:pPr>
    <w:tblPr/>
  </w:style>
  <w:style w:type="table" w:styleId="1171">
    <w:name w:val="List Table 4 - Accent 5"/>
    <w:next w:val="1171"/>
    <w:link w:val="1032"/>
    <w:uiPriority w:val="99"/>
    <w:qFormat/>
    <w:pPr>
      <w:spacing w:after="0" w:line="240" w:lineRule="auto"/>
    </w:pPr>
    <w:tblPr/>
  </w:style>
  <w:style w:type="table" w:styleId="1172">
    <w:name w:val="List Table 4 - Accent 6"/>
    <w:next w:val="1172"/>
    <w:link w:val="1032"/>
    <w:uiPriority w:val="99"/>
    <w:qFormat/>
    <w:pPr>
      <w:spacing w:after="0" w:line="240" w:lineRule="auto"/>
    </w:pPr>
    <w:tblPr/>
  </w:style>
  <w:style w:type="table" w:styleId="1173">
    <w:name w:val="List Table 5 Dark"/>
    <w:next w:val="1173"/>
    <w:link w:val="1032"/>
    <w:uiPriority w:val="99"/>
    <w:qFormat/>
    <w:pPr>
      <w:spacing w:after="0" w:line="240" w:lineRule="auto"/>
    </w:pPr>
    <w:tblPr/>
  </w:style>
  <w:style w:type="table" w:styleId="1174">
    <w:name w:val="List Table 5 Dark - Accent 1"/>
    <w:next w:val="1174"/>
    <w:link w:val="1032"/>
    <w:uiPriority w:val="99"/>
    <w:qFormat/>
    <w:pPr>
      <w:spacing w:after="0" w:line="240" w:lineRule="auto"/>
    </w:pPr>
    <w:tblPr/>
  </w:style>
  <w:style w:type="table" w:styleId="1175">
    <w:name w:val="List Table 5 Dark - Accent 2"/>
    <w:next w:val="1175"/>
    <w:link w:val="1032"/>
    <w:uiPriority w:val="99"/>
    <w:qFormat/>
    <w:pPr>
      <w:spacing w:after="0" w:line="240" w:lineRule="auto"/>
    </w:pPr>
    <w:tblPr/>
  </w:style>
  <w:style w:type="table" w:styleId="1176">
    <w:name w:val="List Table 5 Dark - Accent 3"/>
    <w:next w:val="1176"/>
    <w:link w:val="1032"/>
    <w:uiPriority w:val="99"/>
    <w:qFormat/>
    <w:pPr>
      <w:spacing w:after="0" w:line="240" w:lineRule="auto"/>
    </w:pPr>
    <w:tblPr/>
  </w:style>
  <w:style w:type="table" w:styleId="1177">
    <w:name w:val="List Table 5 Dark - Accent 4"/>
    <w:next w:val="1177"/>
    <w:link w:val="1032"/>
    <w:uiPriority w:val="99"/>
    <w:qFormat/>
    <w:pPr>
      <w:spacing w:after="0" w:line="240" w:lineRule="auto"/>
    </w:pPr>
    <w:tblPr/>
  </w:style>
  <w:style w:type="table" w:styleId="1178">
    <w:name w:val="List Table 5 Dark - Accent 5"/>
    <w:next w:val="1178"/>
    <w:link w:val="1032"/>
    <w:uiPriority w:val="99"/>
    <w:qFormat/>
    <w:pPr>
      <w:spacing w:after="0" w:line="240" w:lineRule="auto"/>
    </w:pPr>
    <w:tblPr/>
  </w:style>
  <w:style w:type="table" w:styleId="1179">
    <w:name w:val="List Table 5 Dark - Accent 6"/>
    <w:next w:val="1179"/>
    <w:link w:val="1032"/>
    <w:uiPriority w:val="99"/>
    <w:qFormat/>
    <w:pPr>
      <w:spacing w:after="0" w:line="240" w:lineRule="auto"/>
    </w:pPr>
    <w:tblPr/>
  </w:style>
  <w:style w:type="table" w:styleId="1180">
    <w:name w:val="List Table 6 Colorful"/>
    <w:next w:val="1180"/>
    <w:link w:val="1032"/>
    <w:uiPriority w:val="99"/>
    <w:qFormat/>
    <w:pPr>
      <w:spacing w:after="0" w:line="240" w:lineRule="auto"/>
    </w:pPr>
    <w:tblPr/>
  </w:style>
  <w:style w:type="table" w:styleId="1181">
    <w:name w:val="List Table 6 Colorful - Accent 1"/>
    <w:next w:val="1181"/>
    <w:link w:val="1032"/>
    <w:uiPriority w:val="99"/>
    <w:qFormat/>
    <w:pPr>
      <w:spacing w:after="0" w:line="240" w:lineRule="auto"/>
    </w:pPr>
    <w:tblPr/>
  </w:style>
  <w:style w:type="table" w:styleId="1182">
    <w:name w:val="List Table 6 Colorful - Accent 2"/>
    <w:next w:val="1182"/>
    <w:link w:val="1032"/>
    <w:uiPriority w:val="99"/>
    <w:qFormat/>
    <w:pPr>
      <w:spacing w:after="0" w:line="240" w:lineRule="auto"/>
    </w:pPr>
    <w:tblPr/>
  </w:style>
  <w:style w:type="table" w:styleId="1183">
    <w:name w:val="List Table 6 Colorful - Accent 3"/>
    <w:next w:val="1183"/>
    <w:link w:val="1032"/>
    <w:uiPriority w:val="99"/>
    <w:qFormat/>
    <w:pPr>
      <w:spacing w:after="0" w:line="240" w:lineRule="auto"/>
    </w:pPr>
    <w:tblPr/>
  </w:style>
  <w:style w:type="table" w:styleId="1184">
    <w:name w:val="List Table 6 Colorful - Accent 4"/>
    <w:next w:val="1184"/>
    <w:link w:val="1032"/>
    <w:uiPriority w:val="99"/>
    <w:qFormat/>
    <w:pPr>
      <w:spacing w:after="0" w:line="240" w:lineRule="auto"/>
    </w:pPr>
    <w:tblPr/>
  </w:style>
  <w:style w:type="table" w:styleId="1185">
    <w:name w:val="List Table 6 Colorful - Accent 5"/>
    <w:next w:val="1185"/>
    <w:link w:val="1032"/>
    <w:uiPriority w:val="99"/>
    <w:qFormat/>
    <w:pPr>
      <w:spacing w:after="0" w:line="240" w:lineRule="auto"/>
    </w:pPr>
    <w:tblPr/>
  </w:style>
  <w:style w:type="table" w:styleId="1186">
    <w:name w:val="List Table 6 Colorful - Accent 6"/>
    <w:next w:val="1186"/>
    <w:link w:val="1032"/>
    <w:uiPriority w:val="99"/>
    <w:qFormat/>
    <w:pPr>
      <w:spacing w:after="0" w:line="240" w:lineRule="auto"/>
    </w:pPr>
    <w:tblPr/>
  </w:style>
  <w:style w:type="table" w:styleId="1187">
    <w:name w:val="List Table 7 Colorful"/>
    <w:next w:val="1187"/>
    <w:link w:val="1032"/>
    <w:uiPriority w:val="99"/>
    <w:qFormat/>
    <w:pPr>
      <w:spacing w:after="0" w:line="240" w:lineRule="auto"/>
    </w:pPr>
    <w:tblPr/>
  </w:style>
  <w:style w:type="table" w:styleId="1188">
    <w:name w:val="List Table 7 Colorful - Accent 1"/>
    <w:next w:val="1188"/>
    <w:link w:val="1032"/>
    <w:uiPriority w:val="99"/>
    <w:qFormat/>
    <w:pPr>
      <w:spacing w:after="0" w:line="240" w:lineRule="auto"/>
    </w:pPr>
    <w:tblPr/>
  </w:style>
  <w:style w:type="table" w:styleId="1189">
    <w:name w:val="List Table 7 Colorful - Accent 2"/>
    <w:next w:val="1189"/>
    <w:link w:val="1032"/>
    <w:uiPriority w:val="99"/>
    <w:qFormat/>
    <w:pPr>
      <w:spacing w:after="0" w:line="240" w:lineRule="auto"/>
    </w:pPr>
    <w:tblPr/>
  </w:style>
  <w:style w:type="table" w:styleId="1190">
    <w:name w:val="List Table 7 Colorful - Accent 3"/>
    <w:next w:val="1190"/>
    <w:link w:val="1032"/>
    <w:uiPriority w:val="99"/>
    <w:qFormat/>
    <w:pPr>
      <w:spacing w:after="0" w:line="240" w:lineRule="auto"/>
    </w:pPr>
    <w:tblPr/>
  </w:style>
  <w:style w:type="table" w:styleId="1191">
    <w:name w:val="List Table 7 Colorful - Accent 4"/>
    <w:next w:val="1191"/>
    <w:link w:val="1032"/>
    <w:uiPriority w:val="99"/>
    <w:qFormat/>
    <w:pPr>
      <w:spacing w:after="0" w:line="240" w:lineRule="auto"/>
    </w:pPr>
    <w:tblPr/>
  </w:style>
  <w:style w:type="table" w:styleId="1192">
    <w:name w:val="List Table 7 Colorful - Accent 5"/>
    <w:next w:val="1192"/>
    <w:link w:val="1032"/>
    <w:uiPriority w:val="99"/>
    <w:qFormat/>
    <w:pPr>
      <w:spacing w:after="0" w:line="240" w:lineRule="auto"/>
    </w:pPr>
    <w:tblPr/>
  </w:style>
  <w:style w:type="table" w:styleId="1193">
    <w:name w:val="List Table 7 Colorful - Accent 6"/>
    <w:next w:val="1193"/>
    <w:link w:val="1032"/>
    <w:uiPriority w:val="99"/>
    <w:qFormat/>
    <w:pPr>
      <w:spacing w:after="0" w:line="240" w:lineRule="auto"/>
    </w:pPr>
    <w:tblPr/>
  </w:style>
  <w:style w:type="table" w:styleId="1194">
    <w:name w:val="Lined - Accent"/>
    <w:next w:val="1194"/>
    <w:link w:val="1032"/>
    <w:uiPriority w:val="99"/>
    <w:qFormat/>
    <w:pPr>
      <w:spacing w:after="0" w:line="240" w:lineRule="auto"/>
    </w:pPr>
    <w:rPr>
      <w:color w:val="404040"/>
    </w:rPr>
    <w:tblPr/>
  </w:style>
  <w:style w:type="table" w:styleId="1195">
    <w:name w:val="Lined - Accent 1"/>
    <w:next w:val="1195"/>
    <w:link w:val="1032"/>
    <w:uiPriority w:val="99"/>
    <w:qFormat/>
    <w:pPr>
      <w:spacing w:after="0" w:line="240" w:lineRule="auto"/>
    </w:pPr>
    <w:rPr>
      <w:color w:val="404040"/>
    </w:rPr>
    <w:tblPr/>
  </w:style>
  <w:style w:type="table" w:styleId="1196">
    <w:name w:val="Lined - Accent 2"/>
    <w:next w:val="1196"/>
    <w:link w:val="1032"/>
    <w:uiPriority w:val="99"/>
    <w:qFormat/>
    <w:pPr>
      <w:spacing w:after="0" w:line="240" w:lineRule="auto"/>
    </w:pPr>
    <w:rPr>
      <w:color w:val="404040"/>
    </w:rPr>
    <w:tblPr/>
  </w:style>
  <w:style w:type="table" w:styleId="1197">
    <w:name w:val="Lined - Accent 3"/>
    <w:next w:val="1197"/>
    <w:link w:val="1032"/>
    <w:uiPriority w:val="99"/>
    <w:qFormat/>
    <w:pPr>
      <w:spacing w:after="0" w:line="240" w:lineRule="auto"/>
    </w:pPr>
    <w:rPr>
      <w:color w:val="404040"/>
    </w:rPr>
    <w:tblPr/>
  </w:style>
  <w:style w:type="table" w:styleId="1198">
    <w:name w:val="Lined - Accent 4"/>
    <w:next w:val="1198"/>
    <w:link w:val="1032"/>
    <w:uiPriority w:val="99"/>
    <w:qFormat/>
    <w:pPr>
      <w:spacing w:after="0" w:line="240" w:lineRule="auto"/>
    </w:pPr>
    <w:rPr>
      <w:color w:val="404040"/>
    </w:rPr>
    <w:tblPr/>
  </w:style>
  <w:style w:type="table" w:styleId="1199">
    <w:name w:val="Lined - Accent 5"/>
    <w:next w:val="1199"/>
    <w:link w:val="1032"/>
    <w:uiPriority w:val="99"/>
    <w:qFormat/>
    <w:pPr>
      <w:spacing w:after="0" w:line="240" w:lineRule="auto"/>
    </w:pPr>
    <w:rPr>
      <w:color w:val="404040"/>
    </w:rPr>
    <w:tblPr/>
  </w:style>
  <w:style w:type="table" w:styleId="1200">
    <w:name w:val="Lined - Accent 6"/>
    <w:next w:val="1200"/>
    <w:link w:val="1032"/>
    <w:uiPriority w:val="99"/>
    <w:qFormat/>
    <w:pPr>
      <w:spacing w:after="0" w:line="240" w:lineRule="auto"/>
    </w:pPr>
    <w:rPr>
      <w:color w:val="404040"/>
    </w:rPr>
    <w:tblPr/>
  </w:style>
  <w:style w:type="table" w:styleId="1201">
    <w:name w:val="Bordered &amp; Lined - Accent"/>
    <w:next w:val="1201"/>
    <w:link w:val="1032"/>
    <w:uiPriority w:val="99"/>
    <w:qFormat/>
    <w:pPr>
      <w:spacing w:after="0" w:line="240" w:lineRule="auto"/>
    </w:pPr>
    <w:rPr>
      <w:color w:val="404040"/>
    </w:rPr>
    <w:tblPr/>
  </w:style>
  <w:style w:type="table" w:styleId="1202">
    <w:name w:val="Bordered &amp; Lined - Accent 1"/>
    <w:next w:val="1202"/>
    <w:link w:val="1032"/>
    <w:uiPriority w:val="99"/>
    <w:qFormat/>
    <w:pPr>
      <w:spacing w:after="0" w:line="240" w:lineRule="auto"/>
    </w:pPr>
    <w:rPr>
      <w:color w:val="404040"/>
    </w:rPr>
    <w:tblPr/>
  </w:style>
  <w:style w:type="table" w:styleId="1203">
    <w:name w:val="Bordered &amp; Lined - Accent 2"/>
    <w:next w:val="1203"/>
    <w:link w:val="1032"/>
    <w:uiPriority w:val="99"/>
    <w:qFormat/>
    <w:pPr>
      <w:spacing w:after="0" w:line="240" w:lineRule="auto"/>
    </w:pPr>
    <w:rPr>
      <w:color w:val="404040"/>
    </w:rPr>
    <w:tblPr/>
  </w:style>
  <w:style w:type="table" w:styleId="1204">
    <w:name w:val="Bordered &amp; Lined - Accent 3"/>
    <w:next w:val="1204"/>
    <w:link w:val="1032"/>
    <w:uiPriority w:val="99"/>
    <w:qFormat/>
    <w:pPr>
      <w:spacing w:after="0" w:line="240" w:lineRule="auto"/>
    </w:pPr>
    <w:rPr>
      <w:color w:val="404040"/>
    </w:rPr>
    <w:tblPr/>
  </w:style>
  <w:style w:type="table" w:styleId="1205">
    <w:name w:val="Bordered &amp; Lined - Accent 4"/>
    <w:next w:val="1205"/>
    <w:link w:val="1032"/>
    <w:uiPriority w:val="99"/>
    <w:qFormat/>
    <w:pPr>
      <w:spacing w:after="0" w:line="240" w:lineRule="auto"/>
    </w:pPr>
    <w:rPr>
      <w:color w:val="404040"/>
    </w:rPr>
    <w:tblPr/>
  </w:style>
  <w:style w:type="table" w:styleId="1206">
    <w:name w:val="Bordered &amp; Lined - Accent 5"/>
    <w:next w:val="1206"/>
    <w:link w:val="1032"/>
    <w:uiPriority w:val="99"/>
    <w:qFormat/>
    <w:pPr>
      <w:spacing w:after="0" w:line="240" w:lineRule="auto"/>
    </w:pPr>
    <w:rPr>
      <w:color w:val="404040"/>
    </w:rPr>
    <w:tblPr/>
  </w:style>
  <w:style w:type="table" w:styleId="1207">
    <w:name w:val="Bordered &amp; Lined - Accent 6"/>
    <w:next w:val="1207"/>
    <w:link w:val="1032"/>
    <w:uiPriority w:val="99"/>
    <w:qFormat/>
    <w:pPr>
      <w:spacing w:after="0" w:line="240" w:lineRule="auto"/>
    </w:pPr>
    <w:rPr>
      <w:color w:val="404040"/>
    </w:rPr>
    <w:tblPr/>
  </w:style>
  <w:style w:type="table" w:styleId="1208">
    <w:name w:val="Bordered"/>
    <w:next w:val="1208"/>
    <w:link w:val="1032"/>
    <w:uiPriority w:val="99"/>
    <w:qFormat/>
    <w:pPr>
      <w:spacing w:after="0" w:line="240" w:lineRule="auto"/>
    </w:pPr>
    <w:tblPr/>
  </w:style>
  <w:style w:type="table" w:styleId="1209">
    <w:name w:val="Bordered - Accent 1"/>
    <w:next w:val="1209"/>
    <w:link w:val="1032"/>
    <w:uiPriority w:val="99"/>
    <w:qFormat/>
    <w:pPr>
      <w:spacing w:after="0" w:line="240" w:lineRule="auto"/>
    </w:pPr>
    <w:tblPr/>
  </w:style>
  <w:style w:type="table" w:styleId="1210">
    <w:name w:val="Bordered - Accent 2"/>
    <w:next w:val="1210"/>
    <w:link w:val="1032"/>
    <w:uiPriority w:val="99"/>
    <w:qFormat/>
    <w:pPr>
      <w:spacing w:after="0" w:line="240" w:lineRule="auto"/>
    </w:pPr>
    <w:tblPr/>
  </w:style>
  <w:style w:type="table" w:styleId="1211">
    <w:name w:val="Bordered - Accent 3"/>
    <w:next w:val="1211"/>
    <w:link w:val="1032"/>
    <w:uiPriority w:val="99"/>
    <w:qFormat/>
    <w:pPr>
      <w:spacing w:after="0" w:line="240" w:lineRule="auto"/>
    </w:pPr>
    <w:tblPr/>
  </w:style>
  <w:style w:type="table" w:styleId="1212">
    <w:name w:val="Bordered - Accent 4"/>
    <w:next w:val="1212"/>
    <w:link w:val="1032"/>
    <w:uiPriority w:val="99"/>
    <w:qFormat/>
    <w:pPr>
      <w:spacing w:after="0" w:line="240" w:lineRule="auto"/>
    </w:pPr>
    <w:tblPr/>
  </w:style>
  <w:style w:type="table" w:styleId="1213">
    <w:name w:val="Bordered - Accent 5"/>
    <w:next w:val="1213"/>
    <w:link w:val="1032"/>
    <w:uiPriority w:val="99"/>
    <w:qFormat/>
    <w:pPr>
      <w:spacing w:after="0" w:line="240" w:lineRule="auto"/>
    </w:pPr>
    <w:tblPr/>
  </w:style>
  <w:style w:type="table" w:styleId="1214">
    <w:name w:val="Bordered - Accent 6"/>
    <w:next w:val="1214"/>
    <w:link w:val="1032"/>
    <w:uiPriority w:val="99"/>
    <w:qFormat/>
    <w:pPr>
      <w:spacing w:after="0" w:line="240" w:lineRule="auto"/>
    </w:pPr>
    <w:tblPr/>
  </w:style>
  <w:style w:type="paragraph" w:styleId="1215">
    <w:name w:val="TOC Heading"/>
    <w:next w:val="1215"/>
    <w:link w:val="1032"/>
    <w:uiPriority w:val="39"/>
    <w:unhideWhenUsed/>
    <w:qFormat/>
    <w:rPr>
      <w:rFonts w:ascii="Times New Roman" w:hAnsi="Times New Roman" w:eastAsia="宋体" w:cs="Times New Roman"/>
    </w:rPr>
  </w:style>
  <w:style w:type="paragraph" w:styleId="1216">
    <w:name w:val="标题 11"/>
    <w:basedOn w:val="1032"/>
    <w:next w:val="1032"/>
    <w:link w:val="1217"/>
    <w:qFormat/>
    <w:pPr>
      <w:jc w:val="center"/>
      <w:keepLines/>
      <w:keepNext/>
      <w:spacing w:before="240" w:after="120" w:line="300" w:lineRule="auto"/>
      <w:outlineLvl w:val="0"/>
    </w:pPr>
    <w:rPr>
      <w:rFonts w:ascii="宋体"/>
      <w:b/>
      <w:sz w:val="32"/>
      <w:szCs w:val="20"/>
    </w:rPr>
  </w:style>
  <w:style w:type="character" w:styleId="1217">
    <w:name w:val="标题 1 字符"/>
    <w:next w:val="1217"/>
    <w:link w:val="1216"/>
    <w:qFormat/>
    <w:rPr>
      <w:rFonts w:ascii="宋体"/>
      <w:b/>
      <w:sz w:val="32"/>
    </w:rPr>
  </w:style>
  <w:style w:type="paragraph" w:styleId="1218">
    <w:name w:val="标题 21"/>
    <w:basedOn w:val="1032"/>
    <w:next w:val="1032"/>
    <w:link w:val="1219"/>
    <w:qFormat/>
    <w:pPr>
      <w:jc w:val="center"/>
      <w:keepLines/>
      <w:keepNext/>
      <w:spacing w:before="120" w:line="300" w:lineRule="auto"/>
      <w:outlineLvl w:val="1"/>
    </w:pPr>
    <w:rPr>
      <w:rFonts w:ascii="Arial" w:hAnsi="Arial" w:eastAsia="黑体"/>
      <w:b/>
      <w:sz w:val="30"/>
      <w:szCs w:val="20"/>
    </w:rPr>
  </w:style>
  <w:style w:type="character" w:styleId="1219">
    <w:name w:val="标题 2 字符"/>
    <w:next w:val="1219"/>
    <w:link w:val="1218"/>
    <w:qFormat/>
    <w:rPr>
      <w:rFonts w:ascii="Arial" w:hAnsi="Arial" w:eastAsia="黑体"/>
      <w:b/>
      <w:sz w:val="30"/>
      <w:lang w:val="en-US" w:eastAsia="zh-CN" w:bidi="ar-SA"/>
    </w:rPr>
  </w:style>
  <w:style w:type="paragraph" w:styleId="1220">
    <w:name w:val="标题 31"/>
    <w:basedOn w:val="1032"/>
    <w:next w:val="1032"/>
    <w:link w:val="1221"/>
    <w:qFormat/>
    <w:pPr>
      <w:jc w:val="left"/>
      <w:keepLines/>
      <w:keepNext/>
      <w:spacing w:before="360" w:after="120"/>
      <w:outlineLvl w:val="2"/>
    </w:pPr>
    <w:rPr>
      <w:rFonts w:ascii="宋体"/>
      <w:b/>
      <w:sz w:val="24"/>
      <w:szCs w:val="20"/>
      <w:u w:val="single"/>
    </w:rPr>
  </w:style>
  <w:style w:type="character" w:styleId="1221">
    <w:name w:val="标题 3 字符"/>
    <w:next w:val="1221"/>
    <w:link w:val="1220"/>
    <w:qFormat/>
    <w:rPr>
      <w:rFonts w:ascii="宋体" w:eastAsia="宋体"/>
      <w:b/>
      <w:sz w:val="24"/>
      <w:u w:val="single"/>
      <w:lang w:val="en-US" w:eastAsia="zh-CN" w:bidi="ar-SA"/>
    </w:rPr>
  </w:style>
  <w:style w:type="paragraph" w:styleId="1222">
    <w:name w:val="标题 41"/>
    <w:basedOn w:val="1032"/>
    <w:next w:val="1032"/>
    <w:link w:val="1223"/>
    <w:qFormat/>
    <w:pPr>
      <w:keepLines/>
      <w:keepNext/>
      <w:spacing w:before="280" w:after="290" w:line="376" w:lineRule="atLeast"/>
      <w:outlineLvl w:val="3"/>
    </w:pPr>
    <w:rPr>
      <w:rFonts w:ascii="Arial" w:hAnsi="Arial" w:eastAsia="黑体"/>
      <w:b/>
      <w:sz w:val="28"/>
      <w:szCs w:val="20"/>
    </w:rPr>
  </w:style>
  <w:style w:type="character" w:styleId="1223">
    <w:name w:val="标题 4 字符"/>
    <w:next w:val="1223"/>
    <w:link w:val="1222"/>
    <w:qFormat/>
    <w:rPr>
      <w:rFonts w:ascii="Arial" w:hAnsi="Arial" w:eastAsia="黑体"/>
      <w:b/>
      <w:sz w:val="28"/>
    </w:rPr>
  </w:style>
  <w:style w:type="paragraph" w:styleId="1224">
    <w:name w:val="标题 51"/>
    <w:basedOn w:val="1032"/>
    <w:next w:val="1032"/>
    <w:link w:val="1225"/>
    <w:qFormat/>
    <w:pPr>
      <w:keepLines/>
      <w:keepNext/>
      <w:spacing w:before="280" w:after="290" w:line="376" w:lineRule="atLeast"/>
      <w:outlineLvl w:val="4"/>
    </w:pPr>
    <w:rPr>
      <w:b/>
      <w:sz w:val="28"/>
      <w:szCs w:val="20"/>
    </w:rPr>
  </w:style>
  <w:style w:type="character" w:styleId="1225">
    <w:name w:val="标题 5 字符"/>
    <w:next w:val="1225"/>
    <w:link w:val="1224"/>
    <w:qFormat/>
    <w:rPr>
      <w:b/>
      <w:sz w:val="28"/>
    </w:rPr>
  </w:style>
  <w:style w:type="paragraph" w:styleId="1226">
    <w:name w:val="标题 61"/>
    <w:basedOn w:val="1032"/>
    <w:next w:val="1032"/>
    <w:link w:val="1227"/>
    <w:qFormat/>
    <w:pPr>
      <w:keepLines/>
      <w:keepNext/>
      <w:spacing w:before="240" w:after="64" w:line="320" w:lineRule="atLeast"/>
      <w:outlineLvl w:val="5"/>
    </w:pPr>
    <w:rPr>
      <w:rFonts w:ascii="Arial" w:hAnsi="Arial" w:eastAsia="黑体"/>
      <w:b/>
      <w:sz w:val="24"/>
      <w:szCs w:val="20"/>
    </w:rPr>
  </w:style>
  <w:style w:type="character" w:styleId="1227">
    <w:name w:val="标题 6 字符"/>
    <w:next w:val="1227"/>
    <w:link w:val="1226"/>
    <w:qFormat/>
    <w:rPr>
      <w:rFonts w:ascii="Arial" w:hAnsi="Arial" w:eastAsia="黑体"/>
      <w:b/>
      <w:sz w:val="24"/>
    </w:rPr>
  </w:style>
  <w:style w:type="paragraph" w:styleId="1228">
    <w:name w:val="标题 71"/>
    <w:basedOn w:val="1032"/>
    <w:next w:val="1032"/>
    <w:link w:val="1229"/>
    <w:qFormat/>
    <w:pPr>
      <w:keepLines/>
      <w:keepNext/>
      <w:spacing w:before="240" w:after="64" w:line="320" w:lineRule="atLeast"/>
      <w:outlineLvl w:val="6"/>
    </w:pPr>
    <w:rPr>
      <w:b/>
      <w:sz w:val="24"/>
      <w:szCs w:val="20"/>
    </w:rPr>
  </w:style>
  <w:style w:type="character" w:styleId="1229">
    <w:name w:val="标题 7 字符"/>
    <w:next w:val="1229"/>
    <w:link w:val="1228"/>
    <w:qFormat/>
    <w:rPr>
      <w:b/>
      <w:sz w:val="24"/>
    </w:rPr>
  </w:style>
  <w:style w:type="paragraph" w:styleId="1230">
    <w:name w:val="标题 81"/>
    <w:basedOn w:val="1032"/>
    <w:next w:val="1032"/>
    <w:link w:val="1231"/>
    <w:qFormat/>
    <w:pPr>
      <w:keepLines/>
      <w:keepNext/>
      <w:spacing w:before="240" w:after="64" w:line="320" w:lineRule="atLeast"/>
      <w:outlineLvl w:val="7"/>
    </w:pPr>
    <w:rPr>
      <w:rFonts w:ascii="Arial" w:hAnsi="Arial" w:eastAsia="黑体"/>
      <w:sz w:val="24"/>
      <w:szCs w:val="20"/>
    </w:rPr>
  </w:style>
  <w:style w:type="character" w:styleId="1231">
    <w:name w:val="标题 8 字符"/>
    <w:next w:val="1231"/>
    <w:link w:val="1230"/>
    <w:qFormat/>
    <w:rPr>
      <w:rFonts w:ascii="Arial" w:hAnsi="Arial" w:eastAsia="黑体"/>
      <w:sz w:val="24"/>
    </w:rPr>
  </w:style>
  <w:style w:type="paragraph" w:styleId="1232">
    <w:name w:val="标题 91"/>
    <w:basedOn w:val="1032"/>
    <w:next w:val="1032"/>
    <w:link w:val="1233"/>
    <w:qFormat/>
    <w:pPr>
      <w:keepLines/>
      <w:keepNext/>
      <w:spacing w:before="240" w:after="64" w:line="320" w:lineRule="atLeast"/>
      <w:outlineLvl w:val="8"/>
    </w:pPr>
    <w:rPr>
      <w:rFonts w:ascii="Arial" w:hAnsi="Arial" w:eastAsia="黑体"/>
      <w:szCs w:val="20"/>
    </w:rPr>
  </w:style>
  <w:style w:type="character" w:styleId="1233">
    <w:name w:val="标题 9 字符"/>
    <w:next w:val="1233"/>
    <w:link w:val="1232"/>
    <w:qFormat/>
    <w:rPr>
      <w:rFonts w:ascii="Arial" w:hAnsi="Arial" w:eastAsia="黑体"/>
      <w:sz w:val="21"/>
    </w:rPr>
  </w:style>
  <w:style w:type="character" w:styleId="1234">
    <w:name w:val="默认段落字体1"/>
    <w:next w:val="1234"/>
    <w:link w:val="1032"/>
    <w:uiPriority w:val="1"/>
    <w:unhideWhenUsed/>
    <w:qFormat/>
  </w:style>
  <w:style w:type="table" w:styleId="1235">
    <w:name w:val="普通表格1"/>
    <w:next w:val="1235"/>
    <w:link w:val="1032"/>
    <w:uiPriority w:val="99"/>
    <w:unhideWhenUsed/>
    <w:qFormat/>
    <w:tblPr/>
  </w:style>
  <w:style w:type="paragraph" w:styleId="1236">
    <w:name w:val="目录 71"/>
    <w:basedOn w:val="1032"/>
    <w:next w:val="1032"/>
    <w:link w:val="1032"/>
    <w:qFormat/>
    <w:pPr>
      <w:ind w:left="2520"/>
    </w:pPr>
  </w:style>
  <w:style w:type="paragraph" w:styleId="1237">
    <w:name w:val="正文缩进111"/>
    <w:basedOn w:val="1032"/>
    <w:next w:val="1237"/>
    <w:link w:val="1238"/>
    <w:qFormat/>
    <w:pPr>
      <w:ind w:firstLine="420"/>
      <w:jc w:val="left"/>
    </w:pPr>
    <w:rPr>
      <w:rFonts w:ascii="宋体"/>
      <w:sz w:val="24"/>
    </w:rPr>
  </w:style>
  <w:style w:type="character" w:styleId="1238">
    <w:name w:val="正文缩进 字符"/>
    <w:next w:val="1238"/>
    <w:link w:val="1237"/>
    <w:qFormat/>
    <w:rPr>
      <w:rFonts w:ascii="宋体" w:eastAsia="宋体"/>
      <w:sz w:val="24"/>
      <w:szCs w:val="24"/>
      <w:lang w:val="en-US" w:eastAsia="zh-CN" w:bidi="ar-SA"/>
    </w:rPr>
  </w:style>
  <w:style w:type="paragraph" w:styleId="1239">
    <w:name w:val="题注1"/>
    <w:basedOn w:val="1032"/>
    <w:next w:val="1032"/>
    <w:link w:val="1032"/>
    <w:qFormat/>
    <w:pPr>
      <w:spacing w:line="480" w:lineRule="auto"/>
    </w:pPr>
    <w:rPr>
      <w:rFonts w:ascii="华文中宋" w:hAnsi="华文中宋" w:eastAsia="华文中宋"/>
      <w:sz w:val="36"/>
      <w:szCs w:val="20"/>
    </w:rPr>
  </w:style>
  <w:style w:type="paragraph" w:styleId="1240">
    <w:name w:val="文档结构图1"/>
    <w:basedOn w:val="1032"/>
    <w:next w:val="1240"/>
    <w:link w:val="1241"/>
    <w:qFormat/>
    <w:pPr>
      <w:shd w:val="clear" w:color="auto" w:fill="000080"/>
    </w:pPr>
  </w:style>
  <w:style w:type="character" w:styleId="1241">
    <w:name w:val="文档结构图 字符"/>
    <w:next w:val="1241"/>
    <w:link w:val="1240"/>
    <w:qFormat/>
    <w:rPr>
      <w:sz w:val="21"/>
      <w:szCs w:val="24"/>
      <w:shd w:val="clear" w:color="auto" w:fill="000080"/>
    </w:rPr>
  </w:style>
  <w:style w:type="paragraph" w:styleId="1242">
    <w:name w:val="批注文字1"/>
    <w:basedOn w:val="1032"/>
    <w:next w:val="1242"/>
    <w:link w:val="1243"/>
    <w:qFormat/>
    <w:pPr>
      <w:jc w:val="left"/>
    </w:pPr>
  </w:style>
  <w:style w:type="character" w:styleId="1243">
    <w:name w:val="批注文字 字符1"/>
    <w:next w:val="1243"/>
    <w:link w:val="1242"/>
    <w:uiPriority w:val="99"/>
    <w:qFormat/>
    <w:rPr>
      <w:sz w:val="21"/>
      <w:szCs w:val="24"/>
    </w:rPr>
  </w:style>
  <w:style w:type="paragraph" w:styleId="1244">
    <w:name w:val="正文文本 31"/>
    <w:basedOn w:val="1032"/>
    <w:next w:val="1244"/>
    <w:link w:val="1245"/>
    <w:qFormat/>
    <w:pPr>
      <w:spacing w:after="120"/>
    </w:pPr>
    <w:rPr>
      <w:sz w:val="16"/>
      <w:szCs w:val="16"/>
    </w:rPr>
  </w:style>
  <w:style w:type="character" w:styleId="1245">
    <w:name w:val="正文文本 3 字符"/>
    <w:next w:val="1245"/>
    <w:link w:val="1244"/>
    <w:qFormat/>
    <w:rPr>
      <w:sz w:val="16"/>
      <w:szCs w:val="16"/>
    </w:rPr>
  </w:style>
  <w:style w:type="paragraph" w:styleId="1246">
    <w:name w:val="正文文本11"/>
    <w:basedOn w:val="1032"/>
    <w:next w:val="1032"/>
    <w:link w:val="1247"/>
    <w:qFormat/>
    <w:pPr>
      <w:spacing w:before="120" w:line="22" w:lineRule="atLeast"/>
      <w:tabs>
        <w:tab w:val="left" w:pos="567" w:leader="none"/>
      </w:tabs>
    </w:pPr>
    <w:rPr>
      <w:rFonts w:ascii="宋体" w:hAnsi="宋体"/>
      <w:sz w:val="24"/>
    </w:rPr>
  </w:style>
  <w:style w:type="character" w:styleId="1247">
    <w:name w:val="正文文本 字符"/>
    <w:next w:val="1247"/>
    <w:link w:val="1246"/>
    <w:qFormat/>
    <w:rPr>
      <w:rFonts w:ascii="宋体" w:hAnsi="宋体"/>
      <w:sz w:val="24"/>
      <w:szCs w:val="24"/>
    </w:rPr>
  </w:style>
  <w:style w:type="paragraph" w:styleId="1248">
    <w:name w:val="正文文本缩进11"/>
    <w:basedOn w:val="1032"/>
    <w:next w:val="1248"/>
    <w:link w:val="1249"/>
    <w:uiPriority w:val="99"/>
    <w:qFormat/>
    <w:pPr>
      <w:ind w:firstLine="570"/>
      <w:spacing w:line="360" w:lineRule="auto"/>
    </w:pPr>
    <w:rPr>
      <w:sz w:val="24"/>
    </w:rPr>
  </w:style>
  <w:style w:type="character" w:styleId="1249">
    <w:name w:val="正文文本缩进 字符"/>
    <w:next w:val="1249"/>
    <w:link w:val="1248"/>
    <w:uiPriority w:val="99"/>
    <w:qFormat/>
    <w:rPr>
      <w:rFonts w:eastAsia="宋体"/>
      <w:sz w:val="24"/>
      <w:szCs w:val="24"/>
      <w:lang w:val="en-US" w:eastAsia="zh-CN" w:bidi="ar-SA"/>
    </w:rPr>
  </w:style>
  <w:style w:type="paragraph" w:styleId="1250">
    <w:name w:val="列表 21"/>
    <w:basedOn w:val="1032"/>
    <w:next w:val="1250"/>
    <w:link w:val="1032"/>
    <w:qFormat/>
    <w:pPr>
      <w:ind w:left="100" w:hanging="200"/>
    </w:pPr>
  </w:style>
  <w:style w:type="paragraph" w:styleId="1251">
    <w:name w:val="文本块1"/>
    <w:basedOn w:val="1032"/>
    <w:next w:val="1251"/>
    <w:link w:val="1032"/>
    <w:qFormat/>
    <w:pPr>
      <w:ind w:left="480" w:right="-341" w:firstLine="513"/>
      <w:widowControl/>
    </w:pPr>
    <w:rPr>
      <w:sz w:val="24"/>
      <w:szCs w:val="20"/>
    </w:rPr>
  </w:style>
  <w:style w:type="paragraph" w:styleId="1252">
    <w:name w:val="目录 51"/>
    <w:basedOn w:val="1032"/>
    <w:next w:val="1032"/>
    <w:link w:val="1032"/>
    <w:qFormat/>
    <w:pPr>
      <w:ind w:left="1680"/>
    </w:pPr>
  </w:style>
  <w:style w:type="paragraph" w:styleId="1253">
    <w:name w:val="目录 31"/>
    <w:basedOn w:val="1032"/>
    <w:next w:val="1032"/>
    <w:link w:val="1032"/>
    <w:uiPriority w:val="39"/>
    <w:qFormat/>
    <w:pPr>
      <w:ind w:left="840"/>
    </w:pPr>
  </w:style>
  <w:style w:type="paragraph" w:styleId="1254">
    <w:name w:val="纯文本11"/>
    <w:basedOn w:val="1032"/>
    <w:next w:val="1254"/>
    <w:link w:val="1255"/>
    <w:uiPriority w:val="99"/>
    <w:qFormat/>
    <w:rPr>
      <w:rFonts w:hint="eastAsia" w:ascii="宋体" w:hAnsi="Courier New"/>
      <w:szCs w:val="20"/>
    </w:rPr>
  </w:style>
  <w:style w:type="character" w:styleId="1255">
    <w:name w:val="纯文本 字符2"/>
    <w:next w:val="1255"/>
    <w:link w:val="1254"/>
    <w:qFormat/>
    <w:rPr>
      <w:rFonts w:hint="eastAsia" w:ascii="宋体" w:hAnsi="Courier New" w:eastAsia="宋体" w:cs="宋体"/>
      <w:sz w:val="21"/>
    </w:rPr>
  </w:style>
  <w:style w:type="paragraph" w:styleId="1256">
    <w:name w:val="目录 81"/>
    <w:basedOn w:val="1032"/>
    <w:next w:val="1032"/>
    <w:link w:val="1032"/>
    <w:qFormat/>
    <w:pPr>
      <w:ind w:left="2940"/>
    </w:pPr>
  </w:style>
  <w:style w:type="paragraph" w:styleId="1257">
    <w:name w:val="日期1"/>
    <w:basedOn w:val="1032"/>
    <w:next w:val="1032"/>
    <w:link w:val="1258"/>
    <w:qFormat/>
    <w:pPr>
      <w:ind w:left="100"/>
    </w:pPr>
    <w:rPr>
      <w:rFonts w:ascii="仿宋_GB2312" w:hAnsi="宋体" w:eastAsia="仿宋_GB2312"/>
      <w:color w:val="000000"/>
      <w:sz w:val="24"/>
    </w:rPr>
  </w:style>
  <w:style w:type="character" w:styleId="1258">
    <w:name w:val="日期 字符"/>
    <w:next w:val="1258"/>
    <w:link w:val="1257"/>
    <w:qFormat/>
    <w:rPr>
      <w:rFonts w:ascii="仿宋_GB2312" w:hAnsi="宋体" w:eastAsia="仿宋_GB2312"/>
      <w:color w:val="000000"/>
      <w:sz w:val="24"/>
      <w:szCs w:val="24"/>
    </w:rPr>
  </w:style>
  <w:style w:type="paragraph" w:styleId="1259">
    <w:name w:val="正文文本缩进 21"/>
    <w:basedOn w:val="1032"/>
    <w:next w:val="1259"/>
    <w:link w:val="1260"/>
    <w:qFormat/>
    <w:pPr>
      <w:ind w:firstLine="480"/>
    </w:pPr>
    <w:rPr>
      <w:rFonts w:ascii="仿宋_GB2312" w:eastAsia="仿宋_GB2312"/>
      <w:sz w:val="24"/>
    </w:rPr>
  </w:style>
  <w:style w:type="character" w:styleId="1260">
    <w:name w:val="正文文本缩进 2 字符"/>
    <w:next w:val="1260"/>
    <w:link w:val="1259"/>
    <w:qFormat/>
    <w:rPr>
      <w:rFonts w:ascii="仿宋_GB2312" w:eastAsia="仿宋_GB2312"/>
      <w:sz w:val="24"/>
      <w:szCs w:val="24"/>
    </w:rPr>
  </w:style>
  <w:style w:type="paragraph" w:styleId="1261">
    <w:name w:val="批注框文本1"/>
    <w:basedOn w:val="1032"/>
    <w:next w:val="1261"/>
    <w:link w:val="1262"/>
    <w:qFormat/>
    <w:rPr>
      <w:sz w:val="18"/>
      <w:szCs w:val="18"/>
    </w:rPr>
  </w:style>
  <w:style w:type="character" w:styleId="1262">
    <w:name w:val="批注框文本 字符"/>
    <w:next w:val="1262"/>
    <w:link w:val="1261"/>
    <w:qFormat/>
    <w:rPr>
      <w:sz w:val="18"/>
      <w:szCs w:val="18"/>
    </w:rPr>
  </w:style>
  <w:style w:type="paragraph" w:styleId="1263">
    <w:name w:val="页脚1"/>
    <w:basedOn w:val="1032"/>
    <w:next w:val="1263"/>
    <w:link w:val="1264"/>
    <w:uiPriority w:val="99"/>
    <w:qFormat/>
    <w:pPr>
      <w:jc w:val="left"/>
      <w:tabs>
        <w:tab w:val="center" w:pos="4153" w:leader="none"/>
        <w:tab w:val="right" w:pos="8306" w:leader="none"/>
      </w:tabs>
    </w:pPr>
    <w:rPr>
      <w:rFonts w:ascii="宋体"/>
      <w:sz w:val="18"/>
      <w:szCs w:val="20"/>
    </w:rPr>
  </w:style>
  <w:style w:type="character" w:styleId="1264">
    <w:name w:val="页脚 字符1"/>
    <w:next w:val="1264"/>
    <w:link w:val="1263"/>
    <w:uiPriority w:val="99"/>
    <w:qFormat/>
    <w:rPr>
      <w:rFonts w:ascii="宋体" w:eastAsia="宋体"/>
      <w:sz w:val="18"/>
      <w:lang w:val="en-US" w:eastAsia="zh-CN" w:bidi="ar-SA"/>
    </w:rPr>
  </w:style>
  <w:style w:type="paragraph" w:styleId="1265">
    <w:name w:val="页眉1"/>
    <w:basedOn w:val="1032"/>
    <w:next w:val="1265"/>
    <w:link w:val="1266"/>
    <w:qFormat/>
    <w:pPr>
      <w:jc w:val="center"/>
      <w:tabs>
        <w:tab w:val="center" w:pos="4153" w:leader="none"/>
        <w:tab w:val="right" w:pos="8306" w:leader="none"/>
      </w:tabs>
      <w:pBdr>
        <w:bottom w:val="single" w:color="000000" w:sz="6" w:space="1"/>
      </w:pBdr>
    </w:pPr>
    <w:rPr>
      <w:sz w:val="18"/>
      <w:szCs w:val="18"/>
    </w:rPr>
  </w:style>
  <w:style w:type="character" w:styleId="1266">
    <w:name w:val="页眉 字符"/>
    <w:next w:val="1266"/>
    <w:link w:val="1265"/>
    <w:qFormat/>
    <w:rPr>
      <w:rFonts w:eastAsia="宋体"/>
      <w:sz w:val="18"/>
      <w:szCs w:val="18"/>
      <w:lang w:val="en-US" w:eastAsia="zh-CN" w:bidi="ar-SA"/>
    </w:rPr>
  </w:style>
  <w:style w:type="paragraph" w:styleId="1267">
    <w:name w:val="目录 11"/>
    <w:basedOn w:val="1032"/>
    <w:next w:val="1032"/>
    <w:link w:val="1032"/>
    <w:uiPriority w:val="39"/>
    <w:qFormat/>
    <w:pPr>
      <w:spacing w:line="300" w:lineRule="auto"/>
      <w:tabs>
        <w:tab w:val="left" w:pos="1050" w:leader="none"/>
        <w:tab w:val="right" w:pos="8937" w:leader="dot"/>
      </w:tabs>
    </w:pPr>
    <w:rPr>
      <w:rFonts w:ascii="宋体" w:hAnsi="宋体"/>
      <w:b/>
      <w:sz w:val="24"/>
    </w:rPr>
  </w:style>
  <w:style w:type="paragraph" w:styleId="1268">
    <w:name w:val="目录 41"/>
    <w:basedOn w:val="1032"/>
    <w:next w:val="1032"/>
    <w:link w:val="1032"/>
    <w:qFormat/>
    <w:pPr>
      <w:ind w:left="1260"/>
    </w:pPr>
  </w:style>
  <w:style w:type="paragraph" w:styleId="1269">
    <w:name w:val="目录 61"/>
    <w:basedOn w:val="1032"/>
    <w:next w:val="1032"/>
    <w:link w:val="1032"/>
    <w:qFormat/>
    <w:pPr>
      <w:ind w:left="2100"/>
    </w:pPr>
  </w:style>
  <w:style w:type="paragraph" w:styleId="1270">
    <w:name w:val="正文文本缩进 31"/>
    <w:basedOn w:val="1032"/>
    <w:next w:val="1270"/>
    <w:link w:val="1271"/>
    <w:qFormat/>
    <w:pPr>
      <w:ind w:left="720" w:firstLine="480"/>
      <w:jc w:val="left"/>
      <w:spacing w:before="120" w:line="22" w:lineRule="atLeast"/>
    </w:pPr>
    <w:rPr>
      <w:rFonts w:ascii="宋体"/>
      <w:sz w:val="24"/>
      <w:szCs w:val="20"/>
    </w:rPr>
  </w:style>
  <w:style w:type="character" w:styleId="1271">
    <w:name w:val="正文文本缩进 3 字符"/>
    <w:next w:val="1271"/>
    <w:link w:val="1270"/>
    <w:qFormat/>
    <w:rPr>
      <w:rFonts w:ascii="宋体"/>
      <w:sz w:val="24"/>
    </w:rPr>
  </w:style>
  <w:style w:type="paragraph" w:styleId="1272">
    <w:name w:val="目录 21"/>
    <w:basedOn w:val="1032"/>
    <w:next w:val="1032"/>
    <w:link w:val="1032"/>
    <w:uiPriority w:val="39"/>
    <w:qFormat/>
    <w:pPr>
      <w:ind w:left="420"/>
      <w:spacing w:line="312" w:lineRule="auto"/>
      <w:tabs>
        <w:tab w:val="right" w:pos="8937" w:leader="dot"/>
      </w:tabs>
    </w:pPr>
  </w:style>
  <w:style w:type="paragraph" w:styleId="1273">
    <w:name w:val="目录 91"/>
    <w:basedOn w:val="1032"/>
    <w:next w:val="1032"/>
    <w:link w:val="1032"/>
    <w:qFormat/>
    <w:pPr>
      <w:ind w:left="3360"/>
    </w:pPr>
  </w:style>
  <w:style w:type="paragraph" w:styleId="1274">
    <w:name w:val="HTML 预设格式1"/>
    <w:basedOn w:val="1032"/>
    <w:next w:val="1274"/>
    <w:link w:val="127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75">
    <w:name w:val="HTML 预设格式 字符"/>
    <w:next w:val="1275"/>
    <w:link w:val="1274"/>
    <w:qFormat/>
    <w:rPr>
      <w:rFonts w:ascii="宋体" w:hAnsi="宋体" w:cs="宋体"/>
      <w:sz w:val="24"/>
      <w:szCs w:val="24"/>
    </w:rPr>
  </w:style>
  <w:style w:type="paragraph" w:styleId="1276">
    <w:name w:val="普通(网站)1"/>
    <w:basedOn w:val="1032"/>
    <w:next w:val="1276"/>
    <w:link w:val="1277"/>
    <w:uiPriority w:val="99"/>
    <w:unhideWhenUsed/>
    <w:qFormat/>
    <w:pPr>
      <w:jc w:val="left"/>
      <w:spacing w:before="100" w:beforeAutospacing="1" w:after="100" w:afterAutospacing="1"/>
      <w:widowControl/>
    </w:pPr>
    <w:rPr>
      <w:rFonts w:ascii="宋体" w:hAnsi="宋体"/>
      <w:sz w:val="24"/>
    </w:rPr>
  </w:style>
  <w:style w:type="character" w:styleId="1277">
    <w:name w:val="普通(网站) 字符"/>
    <w:next w:val="1277"/>
    <w:link w:val="1276"/>
    <w:uiPriority w:val="99"/>
    <w:qFormat/>
    <w:rPr>
      <w:rFonts w:ascii="宋体" w:hAnsi="宋体" w:cs="宋体"/>
      <w:sz w:val="24"/>
      <w:szCs w:val="24"/>
    </w:rPr>
  </w:style>
  <w:style w:type="paragraph" w:styleId="1278">
    <w:name w:val="索引 11"/>
    <w:basedOn w:val="1032"/>
    <w:next w:val="1032"/>
    <w:link w:val="1032"/>
    <w:qFormat/>
    <w:rPr>
      <w:szCs w:val="20"/>
    </w:rPr>
  </w:style>
  <w:style w:type="paragraph" w:styleId="1279">
    <w:name w:val="标题1"/>
    <w:basedOn w:val="1032"/>
    <w:next w:val="1279"/>
    <w:link w:val="1280"/>
    <w:qFormat/>
    <w:pPr>
      <w:jc w:val="center"/>
      <w:outlineLvl w:val="0"/>
    </w:pPr>
    <w:rPr>
      <w:b/>
      <w:sz w:val="32"/>
      <w:szCs w:val="20"/>
    </w:rPr>
  </w:style>
  <w:style w:type="character" w:styleId="1280">
    <w:name w:val="标题 字符"/>
    <w:next w:val="1280"/>
    <w:link w:val="1279"/>
    <w:qFormat/>
    <w:rPr>
      <w:b/>
      <w:sz w:val="32"/>
    </w:rPr>
  </w:style>
  <w:style w:type="paragraph" w:styleId="1281">
    <w:name w:val="批注主题1"/>
    <w:basedOn w:val="1242"/>
    <w:next w:val="1242"/>
    <w:link w:val="1282"/>
    <w:qFormat/>
    <w:rPr>
      <w:b/>
      <w:bCs/>
      <w:lang w:val="en-US" w:eastAsia="zh-CN"/>
    </w:rPr>
  </w:style>
  <w:style w:type="character" w:styleId="1282">
    <w:name w:val="批注主题 字符"/>
    <w:next w:val="1282"/>
    <w:link w:val="1281"/>
    <w:qFormat/>
    <w:rPr>
      <w:rFonts w:ascii="Times New Roman" w:hAnsi="Times New Roman" w:eastAsia="宋体" w:cs="Times New Roman"/>
      <w:b/>
      <w:bCs/>
      <w:sz w:val="21"/>
      <w:szCs w:val="24"/>
      <w:lang w:val="en-US" w:eastAsia="zh-CN" w:bidi="ar-SA"/>
    </w:rPr>
  </w:style>
  <w:style w:type="paragraph" w:styleId="1283">
    <w:name w:val="正文首行缩进 21"/>
    <w:basedOn w:val="1248"/>
    <w:next w:val="1032"/>
    <w:link w:val="1284"/>
    <w:qFormat/>
    <w:pPr>
      <w:ind w:left="420" w:firstLine="420"/>
      <w:spacing w:after="120" w:line="480" w:lineRule="exact"/>
    </w:pPr>
  </w:style>
  <w:style w:type="character" w:styleId="1284">
    <w:name w:val="正文文本首行缩进 2 字符"/>
    <w:next w:val="1284"/>
    <w:link w:val="1283"/>
    <w:qFormat/>
    <w:rPr>
      <w:rFonts w:eastAsia="宋体"/>
      <w:sz w:val="24"/>
      <w:szCs w:val="24"/>
      <w:lang w:val="en-US" w:eastAsia="zh-CN" w:bidi="ar-SA"/>
    </w:rPr>
  </w:style>
  <w:style w:type="table" w:styleId="1285">
    <w:name w:val="网格型11"/>
    <w:basedOn w:val="1235"/>
    <w:next w:val="1285"/>
    <w:link w:val="1032"/>
    <w:uiPriority w:val="39"/>
    <w:qFormat/>
    <w:tblPr/>
  </w:style>
  <w:style w:type="table" w:styleId="1286">
    <w:name w:val="中等深浅网格 1 - 强调文字颜色 21"/>
    <w:basedOn w:val="1235"/>
    <w:next w:val="1286"/>
    <w:link w:val="1032"/>
    <w:qFormat/>
    <w:rPr>
      <w:sz w:val="21"/>
      <w:szCs w:val="24"/>
    </w:rPr>
    <w:tblPr/>
  </w:style>
  <w:style w:type="character" w:styleId="1287">
    <w:name w:val="要点1"/>
    <w:next w:val="1287"/>
    <w:link w:val="1032"/>
    <w:qFormat/>
    <w:rPr>
      <w:b/>
      <w:bCs/>
    </w:rPr>
  </w:style>
  <w:style w:type="character" w:styleId="1288">
    <w:name w:val="页码1"/>
    <w:next w:val="1288"/>
    <w:link w:val="1032"/>
    <w:qFormat/>
  </w:style>
  <w:style w:type="character" w:styleId="1289">
    <w:name w:val="已访问的超链接1"/>
    <w:next w:val="1289"/>
    <w:link w:val="1032"/>
    <w:qFormat/>
    <w:rPr>
      <w:color w:val="000000"/>
      <w:u w:val="none"/>
    </w:rPr>
  </w:style>
  <w:style w:type="character" w:styleId="1290">
    <w:name w:val="强调1"/>
    <w:next w:val="1290"/>
    <w:link w:val="1032"/>
    <w:qFormat/>
    <w:rPr>
      <w:color w:val="cc0033"/>
    </w:rPr>
  </w:style>
  <w:style w:type="character" w:styleId="1291">
    <w:name w:val="HTML 定义1"/>
    <w:next w:val="1291"/>
    <w:link w:val="1032"/>
    <w:qFormat/>
  </w:style>
  <w:style w:type="character" w:styleId="1292">
    <w:name w:val="HTML 打字机1"/>
    <w:next w:val="1292"/>
    <w:link w:val="1032"/>
    <w:qFormat/>
    <w:rPr>
      <w:rFonts w:ascii="monospace" w:hAnsi="monospace" w:eastAsia="monospace" w:cs="monospace"/>
      <w:sz w:val="20"/>
    </w:rPr>
  </w:style>
  <w:style w:type="character" w:styleId="1293">
    <w:name w:val="HTML 缩写1"/>
    <w:next w:val="1293"/>
    <w:link w:val="1032"/>
    <w:qFormat/>
  </w:style>
  <w:style w:type="character" w:styleId="1294">
    <w:name w:val="HTML 变量1"/>
    <w:next w:val="1294"/>
    <w:link w:val="1032"/>
    <w:qFormat/>
  </w:style>
  <w:style w:type="character" w:styleId="1295">
    <w:name w:val="超链接1"/>
    <w:next w:val="1295"/>
    <w:link w:val="1032"/>
    <w:uiPriority w:val="99"/>
    <w:qFormat/>
    <w:rPr>
      <w:color w:val="000000"/>
      <w:u w:val="none"/>
    </w:rPr>
  </w:style>
  <w:style w:type="character" w:styleId="1296">
    <w:name w:val="HTML 代码1"/>
    <w:next w:val="1296"/>
    <w:link w:val="1032"/>
    <w:qFormat/>
    <w:rPr>
      <w:rFonts w:ascii="monospace" w:hAnsi="monospace" w:eastAsia="monospace" w:cs="monospace"/>
      <w:sz w:val="20"/>
    </w:rPr>
  </w:style>
  <w:style w:type="character" w:styleId="1297">
    <w:name w:val="批注引用1"/>
    <w:next w:val="1297"/>
    <w:link w:val="1032"/>
    <w:uiPriority w:val="99"/>
    <w:qFormat/>
    <w:rPr>
      <w:sz w:val="21"/>
      <w:szCs w:val="21"/>
    </w:rPr>
  </w:style>
  <w:style w:type="character" w:styleId="1298">
    <w:name w:val="HTML 引文1"/>
    <w:next w:val="1298"/>
    <w:link w:val="1032"/>
    <w:qFormat/>
    <w:rPr>
      <w:i/>
      <w:iCs/>
    </w:rPr>
  </w:style>
  <w:style w:type="character" w:styleId="1299">
    <w:name w:val="HTML 键盘1"/>
    <w:next w:val="1299"/>
    <w:link w:val="1032"/>
    <w:qFormat/>
    <w:rPr>
      <w:rFonts w:ascii="monospace" w:hAnsi="monospace" w:eastAsia="monospace" w:cs="monospace"/>
      <w:sz w:val="20"/>
    </w:rPr>
  </w:style>
  <w:style w:type="character" w:styleId="1300">
    <w:name w:val="HTML 样本1"/>
    <w:next w:val="1300"/>
    <w:link w:val="1032"/>
    <w:qFormat/>
    <w:rPr>
      <w:rFonts w:ascii="monospace" w:hAnsi="monospace" w:eastAsia="monospace" w:cs="monospace"/>
    </w:rPr>
  </w:style>
  <w:style w:type="character" w:styleId="1301">
    <w:name w:val="批注文字 字符"/>
    <w:next w:val="1301"/>
    <w:link w:val="1032"/>
    <w:qFormat/>
    <w:rPr>
      <w:rFonts w:ascii="Times New Roman" w:hAnsi="Times New Roman" w:eastAsia="宋体" w:cs="Times New Roman"/>
      <w:sz w:val="24"/>
      <w:lang w:val="en-US" w:eastAsia="zh-CN" w:bidi="ar-SA"/>
    </w:rPr>
  </w:style>
  <w:style w:type="character" w:styleId="1302">
    <w:name w:val="c21"/>
    <w:next w:val="1302"/>
    <w:link w:val="1032"/>
    <w:qFormat/>
    <w:rPr>
      <w:rFonts w:ascii="ˎ̥" w:hAnsi="ˎ̥"/>
      <w:color w:val="000000"/>
      <w:sz w:val="20"/>
      <w:szCs w:val="20"/>
      <w:u w:val="none"/>
    </w:rPr>
  </w:style>
  <w:style w:type="character" w:styleId="1303">
    <w:name w:val="title4"/>
    <w:next w:val="1303"/>
    <w:link w:val="1032"/>
    <w:qFormat/>
    <w:rPr>
      <w:b/>
      <w:bCs/>
      <w:color w:val="1d87b3"/>
      <w:sz w:val="15"/>
      <w:szCs w:val="15"/>
    </w:rPr>
  </w:style>
  <w:style w:type="character" w:styleId="1304">
    <w:name w:val="标题 2 Char Char"/>
    <w:next w:val="1304"/>
    <w:link w:val="1032"/>
    <w:qFormat/>
    <w:rPr>
      <w:rFonts w:ascii="Arial" w:hAnsi="Arial" w:eastAsia="黑体"/>
      <w:b/>
      <w:bCs/>
      <w:sz w:val="32"/>
      <w:szCs w:val="32"/>
      <w:lang w:val="en-US" w:eastAsia="zh-CN" w:bidi="ar-SA"/>
    </w:rPr>
  </w:style>
  <w:style w:type="character" w:styleId="1305">
    <w:name w:val="black1"/>
    <w:next w:val="1305"/>
    <w:link w:val="1032"/>
    <w:qFormat/>
    <w:rPr>
      <w:color w:val="000000"/>
    </w:rPr>
  </w:style>
  <w:style w:type="character" w:styleId="1306">
    <w:name w:val="street-address"/>
    <w:next w:val="1306"/>
    <w:link w:val="1032"/>
    <w:qFormat/>
  </w:style>
  <w:style w:type="character" w:styleId="1307">
    <w:name w:val="locality"/>
    <w:next w:val="1307"/>
    <w:link w:val="1032"/>
    <w:qFormat/>
  </w:style>
  <w:style w:type="character" w:styleId="1308">
    <w:name w:val="正文文本缩进 Char1"/>
    <w:next w:val="1308"/>
    <w:link w:val="1309"/>
    <w:qFormat/>
    <w:rPr>
      <w:rFonts w:ascii="宋体" w:hAnsi="宋体" w:eastAsia="宋体"/>
      <w:sz w:val="24"/>
      <w:szCs w:val="24"/>
      <w:lang w:bidi="ar-SA"/>
    </w:rPr>
  </w:style>
  <w:style w:type="paragraph" w:styleId="1309">
    <w:name w:val="正文文本缩进1"/>
    <w:basedOn w:val="1032"/>
    <w:next w:val="1309"/>
    <w:link w:val="1308"/>
    <w:qFormat/>
    <w:pPr>
      <w:ind w:firstLine="480"/>
      <w:spacing w:line="480" w:lineRule="exact"/>
    </w:pPr>
    <w:rPr>
      <w:rFonts w:ascii="宋体" w:hAnsi="宋体"/>
      <w:sz w:val="24"/>
    </w:rPr>
  </w:style>
  <w:style w:type="character" w:styleId="1310">
    <w:name w:val="Char Char11"/>
    <w:next w:val="1310"/>
    <w:link w:val="1032"/>
    <w:qFormat/>
    <w:rPr>
      <w:rFonts w:ascii="宋体" w:eastAsia="宋体"/>
      <w:b/>
      <w:sz w:val="24"/>
      <w:u w:val="single"/>
      <w:lang w:val="en-US" w:eastAsia="zh-CN" w:bidi="ar-SA"/>
    </w:rPr>
  </w:style>
  <w:style w:type="character" w:styleId="1311">
    <w:name w:val="txt"/>
    <w:next w:val="1311"/>
    <w:link w:val="1032"/>
    <w:qFormat/>
  </w:style>
  <w:style w:type="character" w:styleId="1312">
    <w:name w:val="正文缩进 Char Char"/>
    <w:next w:val="1312"/>
    <w:link w:val="1313"/>
    <w:qFormat/>
    <w:rPr>
      <w:rFonts w:ascii="宋体" w:eastAsia="宋体"/>
      <w:color w:val="000000"/>
      <w:sz w:val="28"/>
      <w:lang w:bidi="ar-SA"/>
    </w:rPr>
  </w:style>
  <w:style w:type="paragraph" w:styleId="1313">
    <w:name w:val="正文缩进1"/>
    <w:basedOn w:val="1032"/>
    <w:next w:val="1032"/>
    <w:link w:val="1312"/>
    <w:qFormat/>
    <w:pPr>
      <w:ind w:firstLine="567"/>
      <w:spacing w:line="480" w:lineRule="exact"/>
      <w:widowControl/>
    </w:pPr>
    <w:rPr>
      <w:rFonts w:ascii="宋体"/>
      <w:color w:val="000000"/>
      <w:sz w:val="28"/>
      <w:szCs w:val="20"/>
    </w:rPr>
  </w:style>
  <w:style w:type="character" w:styleId="1314">
    <w:name w:val="普通文字1 Char1"/>
    <w:next w:val="1314"/>
    <w:link w:val="1032"/>
    <w:qFormat/>
    <w:rPr>
      <w:rFonts w:ascii="宋体" w:hAnsi="Courier New" w:eastAsia="宋体"/>
      <w:sz w:val="21"/>
      <w:lang w:val="en-US" w:eastAsia="zh-CN" w:bidi="ar-SA"/>
    </w:rPr>
  </w:style>
  <w:style w:type="character" w:styleId="1315">
    <w:name w:val="chanpin1"/>
    <w:next w:val="1315"/>
    <w:link w:val="1032"/>
    <w:qFormat/>
    <w:rPr>
      <w:rFonts w:ascii="ˎ̥" w:hAnsi="ˎ̥"/>
      <w:color w:val="000000"/>
      <w:sz w:val="20"/>
      <w:szCs w:val="20"/>
      <w:u w:val="none"/>
    </w:rPr>
  </w:style>
  <w:style w:type="character" w:styleId="1316">
    <w:name w:val="列表段落 字符"/>
    <w:next w:val="1316"/>
    <w:link w:val="1317"/>
    <w:uiPriority w:val="34"/>
    <w:qFormat/>
    <w:rPr>
      <w:rFonts w:ascii="Calibri" w:hAnsi="Calibri" w:eastAsia="宋体"/>
      <w:sz w:val="21"/>
      <w:szCs w:val="22"/>
      <w:lang w:val="en-US" w:eastAsia="zh-CN" w:bidi="ar-SA"/>
    </w:rPr>
  </w:style>
  <w:style w:type="paragraph" w:styleId="1317">
    <w:name w:val="列表段落"/>
    <w:basedOn w:val="1032"/>
    <w:next w:val="1317"/>
    <w:link w:val="1316"/>
    <w:uiPriority w:val="34"/>
    <w:qFormat/>
    <w:pPr>
      <w:ind w:firstLine="420"/>
    </w:pPr>
    <w:rPr>
      <w:rFonts w:ascii="Calibri" w:hAnsi="Calibri"/>
      <w:szCs w:val="22"/>
    </w:rPr>
  </w:style>
  <w:style w:type="character" w:styleId="1318">
    <w:name w:val="标题 3 Char Char"/>
    <w:next w:val="1318"/>
    <w:link w:val="1032"/>
    <w:qFormat/>
    <w:rPr>
      <w:rFonts w:eastAsia="宋体"/>
      <w:b/>
      <w:bCs/>
      <w:sz w:val="32"/>
      <w:szCs w:val="32"/>
      <w:lang w:val="en-US" w:eastAsia="zh-CN" w:bidi="ar-SA"/>
    </w:rPr>
  </w:style>
  <w:style w:type="character" w:styleId="1319">
    <w:name w:val="段1 Char"/>
    <w:next w:val="1319"/>
    <w:link w:val="1032"/>
    <w:qFormat/>
    <w:rPr>
      <w:rFonts w:ascii="宋体" w:eastAsia="宋体"/>
      <w:sz w:val="24"/>
      <w:lang w:val="en-US" w:eastAsia="zh-CN" w:bidi="ar-SA"/>
    </w:rPr>
  </w:style>
  <w:style w:type="character" w:styleId="1320">
    <w:name w:val="chanpin拷贝"/>
    <w:next w:val="1320"/>
    <w:link w:val="1032"/>
    <w:qFormat/>
  </w:style>
  <w:style w:type="character" w:styleId="1321">
    <w:name w:val="纯文本 Char1"/>
    <w:next w:val="1321"/>
    <w:link w:val="1322"/>
    <w:qFormat/>
    <w:rPr>
      <w:rFonts w:ascii="宋体" w:hAnsi="Courier New" w:eastAsia="宋体"/>
      <w:sz w:val="21"/>
      <w:lang w:val="en-US" w:eastAsia="zh-CN" w:bidi="ar-SA"/>
    </w:rPr>
  </w:style>
  <w:style w:type="paragraph" w:styleId="1322">
    <w:name w:val="纯文本1"/>
    <w:basedOn w:val="1032"/>
    <w:next w:val="1322"/>
    <w:link w:val="1321"/>
    <w:qFormat/>
    <w:rPr>
      <w:rFonts w:ascii="宋体" w:hAnsi="Courier New"/>
      <w:szCs w:val="20"/>
    </w:rPr>
  </w:style>
  <w:style w:type="character" w:styleId="1323">
    <w:name w:val="apple-style-span"/>
    <w:next w:val="1323"/>
    <w:link w:val="1032"/>
    <w:qFormat/>
    <w:rPr>
      <w:rFonts w:cs="Times New Roman"/>
    </w:rPr>
  </w:style>
  <w:style w:type="paragraph" w:styleId="1324">
    <w:name w:val="二级条标题"/>
    <w:basedOn w:val="1325"/>
    <w:next w:val="1032"/>
    <w:link w:val="1032"/>
    <w:qFormat/>
    <w:pPr>
      <w:numPr>
        <w:ilvl w:val="0"/>
        <w:numId w:val="0"/>
      </w:numPr>
      <w:ind w:hanging="840"/>
      <w:tabs>
        <w:tab w:val="left" w:pos="360" w:leader="none"/>
        <w:tab w:val="left" w:pos="840" w:leader="none"/>
      </w:tabs>
      <w:outlineLvl w:val="2"/>
    </w:pPr>
    <w:rPr>
      <w:rFonts w:ascii="宋体" w:eastAsia="宋体"/>
      <w:b w:val="0"/>
    </w:rPr>
  </w:style>
  <w:style w:type="paragraph" w:styleId="1325">
    <w:name w:val="一级条标题"/>
    <w:basedOn w:val="1326"/>
    <w:next w:val="1032"/>
    <w:link w:val="1032"/>
    <w:qFormat/>
    <w:pPr>
      <w:numPr>
        <w:ilvl w:val="1"/>
      </w:numPr>
      <w:ind w:left="0" w:hanging="840"/>
      <w:tabs>
        <w:tab w:val="left" w:pos="360" w:leader="none"/>
        <w:tab w:val="left" w:pos="840" w:leader="none"/>
      </w:tabs>
      <w:outlineLvl w:val="1"/>
    </w:pPr>
  </w:style>
  <w:style w:type="paragraph" w:styleId="1326">
    <w:name w:val="章标题"/>
    <w:next w:val="1032"/>
    <w:link w:val="1032"/>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27">
    <w:name w:val="font7"/>
    <w:basedOn w:val="1032"/>
    <w:next w:val="1327"/>
    <w:link w:val="1032"/>
    <w:qFormat/>
    <w:pPr>
      <w:jc w:val="left"/>
      <w:spacing w:before="100" w:beforeAutospacing="1" w:after="100" w:afterAutospacing="1"/>
      <w:widowControl/>
    </w:pPr>
    <w:rPr>
      <w:rFonts w:eastAsia="Arial Unicode MS"/>
      <w:b/>
      <w:bCs/>
      <w:color w:val="000000"/>
      <w:sz w:val="20"/>
      <w:szCs w:val="20"/>
    </w:rPr>
  </w:style>
  <w:style w:type="paragraph" w:styleId="1328">
    <w:name w:val="字元 字元"/>
    <w:basedOn w:val="1032"/>
    <w:next w:val="1328"/>
    <w:link w:val="1032"/>
    <w:qFormat/>
    <w:rPr>
      <w:rFonts w:ascii="Tahoma" w:hAnsi="Tahoma"/>
      <w:sz w:val="24"/>
      <w:szCs w:val="20"/>
    </w:rPr>
  </w:style>
  <w:style w:type="paragraph" w:styleId="1329">
    <w:name w:val="Char3 Char Char Char"/>
    <w:basedOn w:val="1032"/>
    <w:next w:val="1329"/>
    <w:link w:val="1032"/>
    <w:qFormat/>
    <w:rPr>
      <w:rFonts w:ascii="Tahoma" w:hAnsi="Tahoma"/>
      <w:sz w:val="24"/>
      <w:szCs w:val="20"/>
    </w:rPr>
  </w:style>
  <w:style w:type="paragraph" w:styleId="1330">
    <w:name w:val="font6"/>
    <w:basedOn w:val="1032"/>
    <w:next w:val="1330"/>
    <w:link w:val="1032"/>
    <w:qFormat/>
    <w:pPr>
      <w:jc w:val="left"/>
      <w:spacing w:before="100" w:beforeAutospacing="1" w:after="100" w:afterAutospacing="1"/>
      <w:widowControl/>
    </w:pPr>
    <w:rPr>
      <w:rFonts w:ascii="宋体" w:hAnsi="宋体" w:cs="宋体"/>
      <w:sz w:val="20"/>
      <w:szCs w:val="20"/>
    </w:rPr>
  </w:style>
  <w:style w:type="paragraph" w:styleId="1331">
    <w:name w:val="项目编号2"/>
    <w:basedOn w:val="1332"/>
    <w:next w:val="1331"/>
    <w:link w:val="1032"/>
    <w:qFormat/>
    <w:pPr>
      <w:numPr>
        <w:numId w:val="3"/>
      </w:numPr>
    </w:pPr>
  </w:style>
  <w:style w:type="paragraph" w:styleId="1332">
    <w:name w:val="项目编号1"/>
    <w:basedOn w:val="1032"/>
    <w:next w:val="1332"/>
    <w:link w:val="1032"/>
    <w:qFormat/>
    <w:pPr>
      <w:numPr>
        <w:ilvl w:val="0"/>
        <w:numId w:val="2"/>
      </w:numPr>
      <w:spacing w:before="100" w:beforeAutospacing="1" w:after="100" w:afterAutospacing="1" w:line="360" w:lineRule="auto"/>
    </w:pPr>
    <w:rPr>
      <w:sz w:val="24"/>
    </w:rPr>
  </w:style>
  <w:style w:type="paragraph" w:styleId="1333">
    <w:name w:val="图中文字"/>
    <w:basedOn w:val="1032"/>
    <w:next w:val="1333"/>
    <w:link w:val="1032"/>
    <w:qFormat/>
    <w:pPr>
      <w:jc w:val="center"/>
      <w:spacing w:line="0" w:lineRule="atLeast"/>
    </w:pPr>
    <w:rPr>
      <w:sz w:val="24"/>
      <w:szCs w:val="20"/>
    </w:rPr>
  </w:style>
  <w:style w:type="paragraph" w:styleId="1334">
    <w:name w:val="xl46"/>
    <w:basedOn w:val="1032"/>
    <w:next w:val="1334"/>
    <w:link w:val="103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5">
    <w:name w:val="xl25"/>
    <w:basedOn w:val="1032"/>
    <w:next w:val="1335"/>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6">
    <w:name w:val="Char2"/>
    <w:basedOn w:val="1032"/>
    <w:next w:val="1336"/>
    <w:link w:val="1032"/>
    <w:qFormat/>
    <w:rPr>
      <w:rFonts w:ascii="Tahoma" w:hAnsi="Tahoma"/>
      <w:sz w:val="24"/>
      <w:szCs w:val="20"/>
    </w:rPr>
  </w:style>
  <w:style w:type="paragraph" w:styleId="1337">
    <w:name w:val="xl35"/>
    <w:basedOn w:val="1032"/>
    <w:next w:val="1337"/>
    <w:link w:val="103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8">
    <w:name w:val="xl40"/>
    <w:basedOn w:val="1032"/>
    <w:next w:val="1338"/>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9">
    <w:name w:val="xl52"/>
    <w:basedOn w:val="1032"/>
    <w:next w:val="1339"/>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40">
    <w:name w:val="xl43"/>
    <w:basedOn w:val="1032"/>
    <w:next w:val="1340"/>
    <w:link w:val="103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1">
    <w:name w:val="background1"/>
    <w:basedOn w:val="1032"/>
    <w:next w:val="1341"/>
    <w:link w:val="1032"/>
    <w:qFormat/>
    <w:pPr>
      <w:jc w:val="left"/>
      <w:spacing w:before="100" w:beforeAutospacing="1" w:after="100" w:afterAutospacing="1"/>
      <w:widowControl/>
    </w:pPr>
    <w:rPr>
      <w:rFonts w:ascii="宋体" w:hAnsi="宋体" w:cs="宋体"/>
      <w:sz w:val="24"/>
    </w:rPr>
  </w:style>
  <w:style w:type="paragraph" w:styleId="1342">
    <w:name w:val="Char Char Char Char Char Char Char"/>
    <w:basedOn w:val="1032"/>
    <w:next w:val="1342"/>
    <w:link w:val="1032"/>
    <w:qFormat/>
    <w:pPr>
      <w:ind w:firstLine="200"/>
      <w:spacing w:line="360" w:lineRule="auto"/>
    </w:pPr>
    <w:rPr>
      <w:rFonts w:eastAsia="仿宋_GB2312"/>
      <w:sz w:val="24"/>
    </w:rPr>
  </w:style>
  <w:style w:type="paragraph" w:styleId="1343">
    <w:name w:val="xl38"/>
    <w:basedOn w:val="1032"/>
    <w:next w:val="1343"/>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44">
    <w:name w:val="xl36"/>
    <w:basedOn w:val="1032"/>
    <w:next w:val="1344"/>
    <w:link w:val="103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5">
    <w:name w:val="正文 + 宋体"/>
    <w:basedOn w:val="1032"/>
    <w:next w:val="1345"/>
    <w:link w:val="1032"/>
    <w:qFormat/>
    <w:pPr>
      <w:ind w:left="360" w:hanging="360"/>
      <w:jc w:val="left"/>
      <w:widowControl/>
    </w:pPr>
    <w:rPr>
      <w:rFonts w:ascii="宋体" w:hAnsi="宋体" w:cs="宋体"/>
      <w:b/>
      <w:bCs/>
      <w:color w:val="000000"/>
      <w:sz w:val="18"/>
      <w:szCs w:val="18"/>
    </w:rPr>
  </w:style>
  <w:style w:type="paragraph" w:styleId="1346">
    <w:name w:val="正文列项_数字"/>
    <w:basedOn w:val="1032"/>
    <w:next w:val="1346"/>
    <w:link w:val="1032"/>
    <w:qFormat/>
    <w:pPr>
      <w:numPr>
        <w:ilvl w:val="7"/>
        <w:numId w:val="1"/>
      </w:numPr>
      <w:ind w:left="680" w:hanging="150"/>
      <w:spacing w:line="460" w:lineRule="exact"/>
      <w:tabs>
        <w:tab w:val="clear" w:pos="860" w:leader="none"/>
      </w:tabs>
      <w:outlineLvl w:val="7"/>
    </w:pPr>
    <w:rPr>
      <w:rFonts w:ascii="宋体"/>
      <w:sz w:val="28"/>
      <w:szCs w:val="20"/>
    </w:rPr>
  </w:style>
  <w:style w:type="paragraph" w:styleId="1347">
    <w:name w:val="xl39"/>
    <w:basedOn w:val="1032"/>
    <w:next w:val="1347"/>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8">
    <w:name w:val="xl37"/>
    <w:basedOn w:val="1032"/>
    <w:next w:val="1348"/>
    <w:link w:val="103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9">
    <w:name w:val="xl32"/>
    <w:basedOn w:val="1032"/>
    <w:next w:val="1349"/>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0">
    <w:name w:val="font8"/>
    <w:basedOn w:val="1032"/>
    <w:next w:val="1350"/>
    <w:link w:val="1032"/>
    <w:qFormat/>
    <w:pPr>
      <w:jc w:val="left"/>
      <w:spacing w:before="100" w:beforeAutospacing="1" w:after="100" w:afterAutospacing="1"/>
      <w:widowControl/>
    </w:pPr>
    <w:rPr>
      <w:sz w:val="36"/>
      <w:szCs w:val="36"/>
    </w:rPr>
  </w:style>
  <w:style w:type="paragraph" w:styleId="1351">
    <w:name w:val="Char"/>
    <w:basedOn w:val="1032"/>
    <w:next w:val="1351"/>
    <w:link w:val="1032"/>
    <w:qFormat/>
    <w:pPr>
      <w:tabs>
        <w:tab w:val="left" w:pos="360" w:leader="none"/>
      </w:tabs>
    </w:pPr>
    <w:rPr>
      <w:sz w:val="24"/>
    </w:rPr>
  </w:style>
  <w:style w:type="paragraph" w:styleId="1352">
    <w:name w:val="Char Char Char Char Char Char Char Char Char Char Char Char Char Char Char Char"/>
    <w:basedOn w:val="1032"/>
    <w:next w:val="1352"/>
    <w:link w:val="1032"/>
    <w:qFormat/>
    <w:pPr>
      <w:jc w:val="center"/>
      <w:spacing w:after="160" w:line="240" w:lineRule="exact"/>
      <w:widowControl/>
    </w:pPr>
    <w:rPr>
      <w:rFonts w:ascii="宋体" w:hAnsi="宋体"/>
      <w:b/>
      <w:sz w:val="30"/>
      <w:szCs w:val="30"/>
      <w:lang w:eastAsia="en-US"/>
    </w:rPr>
  </w:style>
  <w:style w:type="paragraph" w:styleId="1353">
    <w:name w:val="xl45"/>
    <w:basedOn w:val="1032"/>
    <w:next w:val="1353"/>
    <w:link w:val="103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4">
    <w:name w:val="Char Char1 Char Char Char Char Char Char"/>
    <w:basedOn w:val="1032"/>
    <w:next w:val="1354"/>
    <w:link w:val="1032"/>
    <w:qFormat/>
    <w:pPr>
      <w:jc w:val="left"/>
      <w:spacing w:after="160" w:line="240" w:lineRule="exact"/>
      <w:widowControl/>
    </w:pPr>
    <w:rPr>
      <w:rFonts w:ascii="Verdana" w:hAnsi="Verdana" w:eastAsia="仿宋_GB2312"/>
      <w:sz w:val="24"/>
      <w:szCs w:val="20"/>
      <w:lang w:eastAsia="en-US"/>
    </w:rPr>
  </w:style>
  <w:style w:type="paragraph" w:styleId="1355">
    <w:name w:val="Char Char1"/>
    <w:basedOn w:val="1240"/>
    <w:next w:val="1355"/>
    <w:link w:val="1032"/>
    <w:qFormat/>
    <w:rPr>
      <w:rFonts w:ascii="Tahoma" w:hAnsi="Tahoma"/>
      <w:sz w:val="24"/>
    </w:rPr>
  </w:style>
  <w:style w:type="paragraph" w:styleId="1356">
    <w:name w:val="xl26"/>
    <w:basedOn w:val="1032"/>
    <w:next w:val="1356"/>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57">
    <w:name w:val="xl30"/>
    <w:basedOn w:val="1032"/>
    <w:next w:val="1357"/>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8">
    <w:name w:val="xl41"/>
    <w:basedOn w:val="1032"/>
    <w:next w:val="1358"/>
    <w:link w:val="10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9">
    <w:name w:val="样式 宋体 五号 行距: 单倍行距"/>
    <w:basedOn w:val="1032"/>
    <w:next w:val="1359"/>
    <w:link w:val="1032"/>
    <w:qFormat/>
    <w:pPr>
      <w:jc w:val="left"/>
    </w:pPr>
    <w:rPr>
      <w:rFonts w:ascii="宋体" w:hAnsi="宋体"/>
      <w:szCs w:val="20"/>
    </w:rPr>
  </w:style>
  <w:style w:type="paragraph" w:styleId="1360">
    <w:name w:val="Char1 Char Char Char1"/>
    <w:basedOn w:val="1032"/>
    <w:next w:val="1360"/>
    <w:link w:val="1032"/>
    <w:qFormat/>
    <w:rPr>
      <w:rFonts w:ascii="Tahoma" w:hAnsi="Tahoma" w:cs="仿宋_GB2312"/>
      <w:sz w:val="24"/>
      <w:szCs w:val="28"/>
    </w:rPr>
  </w:style>
  <w:style w:type="paragraph" w:styleId="1361">
    <w:name w:val="四级条标题"/>
    <w:basedOn w:val="1362"/>
    <w:next w:val="1032"/>
    <w:link w:val="1032"/>
    <w:qFormat/>
    <w:pPr>
      <w:numPr>
        <w:ilvl w:val="4"/>
      </w:numPr>
      <w:ind w:left="0" w:hanging="840"/>
      <w:tabs>
        <w:tab w:val="left" w:pos="360" w:leader="none"/>
        <w:tab w:val="left" w:pos="840" w:leader="none"/>
      </w:tabs>
      <w:outlineLvl w:val="4"/>
    </w:pPr>
  </w:style>
  <w:style w:type="paragraph" w:styleId="1362">
    <w:name w:val="三级条标题"/>
    <w:basedOn w:val="1324"/>
    <w:next w:val="1032"/>
    <w:link w:val="1032"/>
    <w:qFormat/>
    <w:pPr>
      <w:numPr>
        <w:ilvl w:val="3"/>
        <w:numId w:val="1"/>
      </w:numPr>
      <w:ind w:left="0" w:hanging="840"/>
      <w:tabs>
        <w:tab w:val="left" w:pos="360" w:leader="none"/>
        <w:tab w:val="left" w:pos="840" w:leader="none"/>
      </w:tabs>
      <w:outlineLvl w:val="3"/>
    </w:pPr>
  </w:style>
  <w:style w:type="paragraph" w:styleId="1363">
    <w:name w:val="??"/>
    <w:next w:val="1363"/>
    <w:link w:val="1032"/>
    <w:qFormat/>
    <w:pPr>
      <w:jc w:val="both"/>
      <w:widowControl w:val="off"/>
    </w:pPr>
    <w:rPr>
      <w:rFonts w:ascii="Times New Roman" w:hAnsi="Times New Roman" w:eastAsia="宋体" w:cs="Times New Roman"/>
      <w:sz w:val="21"/>
      <w:lang w:val="en-US" w:eastAsia="en-US" w:bidi="ar-SA"/>
    </w:rPr>
  </w:style>
  <w:style w:type="paragraph" w:styleId="1364">
    <w:name w:val="样式 标题 2 + 宋体 五号 行距: 单倍行距"/>
    <w:basedOn w:val="1218"/>
    <w:next w:val="1364"/>
    <w:link w:val="103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65">
    <w:name w:val="List Paragraph1"/>
    <w:basedOn w:val="1032"/>
    <w:next w:val="1365"/>
    <w:link w:val="1032"/>
    <w:qFormat/>
    <w:pPr>
      <w:ind w:firstLine="420"/>
    </w:pPr>
    <w:rPr>
      <w:rFonts w:ascii="Calibri" w:hAnsi="Calibri"/>
      <w:szCs w:val="22"/>
    </w:rPr>
  </w:style>
  <w:style w:type="paragraph" w:styleId="1366">
    <w:name w:val="项目符号1"/>
    <w:basedOn w:val="1367"/>
    <w:next w:val="1366"/>
    <w:link w:val="1032"/>
    <w:qFormat/>
    <w:pPr>
      <w:ind w:left="-25" w:firstLine="0"/>
    </w:pPr>
  </w:style>
  <w:style w:type="paragraph" w:styleId="1367">
    <w:name w:val="正文文本样式"/>
    <w:basedOn w:val="1032"/>
    <w:next w:val="1367"/>
    <w:link w:val="1032"/>
    <w:qFormat/>
    <w:pPr>
      <w:ind w:firstLine="482"/>
      <w:spacing w:line="360" w:lineRule="auto"/>
    </w:pPr>
    <w:rPr>
      <w:rFonts w:cs="宋体"/>
      <w:sz w:val="24"/>
      <w:szCs w:val="20"/>
    </w:rPr>
  </w:style>
  <w:style w:type="paragraph" w:styleId="1368">
    <w:name w:val="xl27"/>
    <w:basedOn w:val="1032"/>
    <w:next w:val="1368"/>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9">
    <w:name w:val="font5"/>
    <w:basedOn w:val="1032"/>
    <w:next w:val="1369"/>
    <w:link w:val="1032"/>
    <w:qFormat/>
    <w:pPr>
      <w:jc w:val="left"/>
      <w:spacing w:before="100" w:beforeAutospacing="1" w:after="100" w:afterAutospacing="1"/>
      <w:widowControl/>
    </w:pPr>
    <w:rPr>
      <w:rFonts w:ascii="宋体" w:hAnsi="宋体" w:cs="宋体"/>
      <w:sz w:val="18"/>
      <w:szCs w:val="18"/>
    </w:rPr>
  </w:style>
  <w:style w:type="paragraph" w:styleId="1370">
    <w:name w:val="五级条标题"/>
    <w:basedOn w:val="1361"/>
    <w:next w:val="1032"/>
    <w:link w:val="1032"/>
    <w:qFormat/>
    <w:pPr>
      <w:numPr>
        <w:ilvl w:val="5"/>
      </w:numPr>
      <w:ind w:left="0" w:hanging="840"/>
      <w:tabs>
        <w:tab w:val="left" w:pos="360" w:leader="none"/>
        <w:tab w:val="left" w:pos="840" w:leader="none"/>
      </w:tabs>
      <w:outlineLvl w:val="5"/>
    </w:pPr>
  </w:style>
  <w:style w:type="paragraph" w:styleId="1371">
    <w:name w:val="xl49"/>
    <w:basedOn w:val="1032"/>
    <w:next w:val="1371"/>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72">
    <w:name w:val="文档正文"/>
    <w:basedOn w:val="1032"/>
    <w:next w:val="1372"/>
    <w:link w:val="1032"/>
    <w:qFormat/>
    <w:pPr>
      <w:spacing w:before="120" w:after="120" w:line="180" w:lineRule="auto"/>
    </w:pPr>
    <w:rPr>
      <w:rFonts w:ascii="Arial" w:hAnsi="Arial"/>
      <w:szCs w:val="20"/>
    </w:rPr>
  </w:style>
  <w:style w:type="paragraph" w:styleId="1373">
    <w:name w:val="xl33"/>
    <w:basedOn w:val="1032"/>
    <w:next w:val="1373"/>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4">
    <w:name w:val="xl42"/>
    <w:basedOn w:val="1032"/>
    <w:next w:val="1374"/>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75">
    <w:name w:val="Char Char Char1 Char"/>
    <w:basedOn w:val="1032"/>
    <w:next w:val="1375"/>
    <w:link w:val="1032"/>
    <w:qFormat/>
    <w:rPr>
      <w:rFonts w:ascii="Tahoma" w:hAnsi="Tahoma"/>
      <w:sz w:val="24"/>
      <w:szCs w:val="20"/>
    </w:rPr>
  </w:style>
  <w:style w:type="paragraph" w:styleId="1376">
    <w:name w:val="xl44"/>
    <w:basedOn w:val="1032"/>
    <w:next w:val="1376"/>
    <w:link w:val="10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77">
    <w:name w:val="1名"/>
    <w:basedOn w:val="1032"/>
    <w:next w:val="1377"/>
    <w:link w:val="1032"/>
    <w:qFormat/>
    <w:pPr>
      <w:numPr>
        <w:ilvl w:val="0"/>
        <w:numId w:val="5"/>
      </w:numPr>
      <w:spacing w:before="120"/>
      <w:tabs>
        <w:tab w:val="left" w:pos="360" w:leader="none"/>
      </w:tabs>
    </w:pPr>
    <w:rPr>
      <w:rFonts w:ascii="宋体"/>
      <w:sz w:val="28"/>
      <w:szCs w:val="20"/>
    </w:rPr>
  </w:style>
  <w:style w:type="paragraph" w:styleId="1378">
    <w:name w:val="font9"/>
    <w:basedOn w:val="1032"/>
    <w:next w:val="1378"/>
    <w:link w:val="1032"/>
    <w:qFormat/>
    <w:pPr>
      <w:jc w:val="left"/>
      <w:spacing w:before="100" w:beforeAutospacing="1" w:after="100" w:afterAutospacing="1"/>
      <w:widowControl/>
    </w:pPr>
    <w:rPr>
      <w:rFonts w:hint="eastAsia" w:ascii="宋体" w:hAnsi="宋体" w:cs="Arial Unicode MS"/>
      <w:color w:val="000000"/>
      <w:sz w:val="20"/>
      <w:szCs w:val="20"/>
    </w:rPr>
  </w:style>
  <w:style w:type="paragraph" w:styleId="1379">
    <w:name w:val="Char Char Char1 Char1"/>
    <w:basedOn w:val="1032"/>
    <w:next w:val="1379"/>
    <w:link w:val="1032"/>
    <w:qFormat/>
    <w:rPr>
      <w:rFonts w:ascii="Tahoma" w:hAnsi="Tahoma"/>
      <w:sz w:val="24"/>
      <w:szCs w:val="20"/>
    </w:rPr>
  </w:style>
  <w:style w:type="paragraph" w:styleId="1380">
    <w:name w:val="Char Char Char Char Char Char Char Char Char Char"/>
    <w:basedOn w:val="1032"/>
    <w:next w:val="1380"/>
    <w:link w:val="1032"/>
    <w:qFormat/>
  </w:style>
  <w:style w:type="paragraph" w:styleId="1381">
    <w:name w:val="Char Char1 Char Char Char Char Char Char Char Char"/>
    <w:basedOn w:val="1032"/>
    <w:next w:val="1381"/>
    <w:link w:val="1032"/>
    <w:qFormat/>
    <w:pPr>
      <w:jc w:val="left"/>
      <w:spacing w:after="160" w:line="240" w:lineRule="exact"/>
      <w:widowControl/>
    </w:pPr>
    <w:rPr>
      <w:rFonts w:ascii="Verdana" w:hAnsi="Verdana"/>
      <w:sz w:val="20"/>
      <w:szCs w:val="20"/>
      <w:lang w:eastAsia="en-US"/>
    </w:rPr>
  </w:style>
  <w:style w:type="paragraph" w:styleId="1382">
    <w:name w:val="Char1"/>
    <w:basedOn w:val="1032"/>
    <w:next w:val="1382"/>
    <w:link w:val="1032"/>
    <w:qFormat/>
    <w:pPr>
      <w:tabs>
        <w:tab w:val="left" w:pos="360" w:leader="none"/>
      </w:tabs>
    </w:pPr>
    <w:rPr>
      <w:sz w:val="24"/>
    </w:rPr>
  </w:style>
  <w:style w:type="paragraph" w:styleId="1383">
    <w:name w:val="正文列项_字母"/>
    <w:basedOn w:val="1032"/>
    <w:next w:val="1383"/>
    <w:link w:val="1032"/>
    <w:qFormat/>
    <w:pPr>
      <w:numPr>
        <w:ilvl w:val="6"/>
        <w:numId w:val="1"/>
      </w:numPr>
      <w:ind w:left="480" w:hanging="180"/>
      <w:spacing w:line="460" w:lineRule="exact"/>
      <w:tabs>
        <w:tab w:val="clear" w:pos="635" w:leader="none"/>
      </w:tabs>
      <w:outlineLvl w:val="6"/>
    </w:pPr>
    <w:rPr>
      <w:rFonts w:ascii="宋体"/>
      <w:sz w:val="28"/>
      <w:szCs w:val="20"/>
    </w:rPr>
  </w:style>
  <w:style w:type="paragraph" w:styleId="1384">
    <w:name w:val="xl28"/>
    <w:basedOn w:val="1032"/>
    <w:next w:val="1384"/>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5">
    <w:name w:val="xl47"/>
    <w:basedOn w:val="1032"/>
    <w:next w:val="1385"/>
    <w:link w:val="10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6">
    <w:name w:val="默认段落字体 Para Char Char Char Char"/>
    <w:basedOn w:val="1032"/>
    <w:next w:val="1386"/>
    <w:link w:val="1032"/>
    <w:qFormat/>
    <w:rPr>
      <w:rFonts w:ascii="Arial" w:hAnsi="Arial" w:cs="Arial"/>
      <w:szCs w:val="21"/>
    </w:rPr>
  </w:style>
  <w:style w:type="paragraph" w:styleId="1387">
    <w:name w:val="xl48"/>
    <w:basedOn w:val="1032"/>
    <w:next w:val="1387"/>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88">
    <w:name w:val="xl31"/>
    <w:basedOn w:val="1032"/>
    <w:next w:val="1388"/>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9">
    <w:name w:val="xl53"/>
    <w:basedOn w:val="1032"/>
    <w:next w:val="1389"/>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0">
    <w:name w:val="Char Char Char"/>
    <w:basedOn w:val="1032"/>
    <w:next w:val="1390"/>
    <w:link w:val="1032"/>
    <w:qFormat/>
    <w:rPr>
      <w:rFonts w:ascii="Tahoma" w:hAnsi="Tahoma"/>
      <w:sz w:val="24"/>
      <w:szCs w:val="20"/>
    </w:rPr>
  </w:style>
  <w:style w:type="paragraph" w:styleId="1391">
    <w:name w:val="xl50"/>
    <w:basedOn w:val="1032"/>
    <w:next w:val="1391"/>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92">
    <w:name w:val="缺省文本"/>
    <w:basedOn w:val="1032"/>
    <w:next w:val="1392"/>
    <w:link w:val="1032"/>
    <w:qFormat/>
    <w:pPr>
      <w:jc w:val="left"/>
    </w:pPr>
    <w:rPr>
      <w:sz w:val="24"/>
    </w:rPr>
  </w:style>
  <w:style w:type="paragraph" w:styleId="1393">
    <w:name w:val="Char Char Char1"/>
    <w:basedOn w:val="1032"/>
    <w:next w:val="1393"/>
    <w:link w:val="1032"/>
    <w:qFormat/>
    <w:rPr>
      <w:rFonts w:ascii="Tahoma" w:hAnsi="Tahoma"/>
      <w:sz w:val="24"/>
      <w:szCs w:val="20"/>
    </w:rPr>
  </w:style>
  <w:style w:type="paragraph" w:styleId="1394">
    <w:name w:val="Char Char Char Char Char Char Char1"/>
    <w:basedOn w:val="1032"/>
    <w:next w:val="1394"/>
    <w:link w:val="1032"/>
    <w:qFormat/>
    <w:pPr>
      <w:ind w:firstLine="200"/>
      <w:spacing w:line="360" w:lineRule="auto"/>
    </w:pPr>
    <w:rPr>
      <w:rFonts w:eastAsia="仿宋_GB2312"/>
      <w:sz w:val="24"/>
    </w:rPr>
  </w:style>
  <w:style w:type="paragraph" w:styleId="1395">
    <w:name w:val="xl51"/>
    <w:basedOn w:val="1032"/>
    <w:next w:val="1395"/>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6">
    <w:name w:val="样式2"/>
    <w:basedOn w:val="1278"/>
    <w:next w:val="1396"/>
    <w:link w:val="1032"/>
    <w:qFormat/>
    <w:pPr>
      <w:jc w:val="center"/>
      <w:spacing w:line="360" w:lineRule="auto"/>
    </w:pPr>
    <w:rPr>
      <w:sz w:val="24"/>
    </w:rPr>
  </w:style>
  <w:style w:type="paragraph" w:styleId="1397">
    <w:name w:val="xl24"/>
    <w:basedOn w:val="1032"/>
    <w:next w:val="1397"/>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8">
    <w:name w:val="xl29"/>
    <w:basedOn w:val="1032"/>
    <w:next w:val="1398"/>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99">
    <w:name w:val="正文 + 楷体_GB2312"/>
    <w:basedOn w:val="1032"/>
    <w:next w:val="1399"/>
    <w:link w:val="1032"/>
    <w:qFormat/>
    <w:pPr>
      <w:jc w:val="left"/>
      <w:widowControl/>
    </w:pPr>
    <w:rPr>
      <w:rFonts w:ascii="楷体_GB2312" w:eastAsia="楷体_GB2312" w:cs="Arial"/>
      <w:sz w:val="24"/>
    </w:rPr>
  </w:style>
  <w:style w:type="paragraph" w:styleId="1400">
    <w:name w:val="xl34"/>
    <w:basedOn w:val="1032"/>
    <w:next w:val="1400"/>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1">
    <w:name w:val="1 Char Char Char Char"/>
    <w:basedOn w:val="1032"/>
    <w:next w:val="1401"/>
    <w:link w:val="1032"/>
    <w:qFormat/>
    <w:rPr>
      <w:rFonts w:ascii="Tahoma" w:hAnsi="Tahoma"/>
      <w:sz w:val="24"/>
      <w:szCs w:val="20"/>
    </w:rPr>
  </w:style>
  <w:style w:type="paragraph" w:styleId="1402">
    <w:name w:val="Default"/>
    <w:next w:val="1032"/>
    <w:link w:val="1032"/>
    <w:qFormat/>
    <w:pPr>
      <w:widowControl w:val="off"/>
    </w:pPr>
    <w:rPr>
      <w:rFonts w:ascii="Symbol" w:hAnsi="Symbol" w:eastAsia="宋体" w:cs="Symbol"/>
      <w:color w:val="000000"/>
      <w:sz w:val="24"/>
      <w:szCs w:val="24"/>
      <w:lang w:val="en-US" w:eastAsia="zh-CN" w:bidi="ar-SA"/>
    </w:rPr>
  </w:style>
  <w:style w:type="paragraph" w:styleId="1403">
    <w:name w:val="列出段落1"/>
    <w:basedOn w:val="1032"/>
    <w:next w:val="1403"/>
    <w:link w:val="1032"/>
    <w:qFormat/>
    <w:pPr>
      <w:ind w:firstLine="420"/>
    </w:pPr>
    <w:rPr>
      <w:rFonts w:ascii="Calibri" w:hAnsi="Calibri"/>
      <w:szCs w:val="22"/>
    </w:rPr>
  </w:style>
  <w:style w:type="paragraph" w:styleId="1404">
    <w:name w:val="default"/>
    <w:basedOn w:val="1032"/>
    <w:next w:val="1404"/>
    <w:link w:val="1032"/>
    <w:qFormat/>
    <w:pPr>
      <w:jc w:val="left"/>
      <w:spacing w:before="100" w:beforeAutospacing="1" w:after="100" w:afterAutospacing="1"/>
      <w:widowControl/>
    </w:pPr>
    <w:rPr>
      <w:rFonts w:ascii="宋体" w:hAnsi="宋体" w:cs="宋体"/>
      <w:sz w:val="24"/>
    </w:rPr>
  </w:style>
  <w:style w:type="paragraph" w:styleId="1405">
    <w:name w:val="字元 字元1"/>
    <w:basedOn w:val="1032"/>
    <w:next w:val="1405"/>
    <w:link w:val="1032"/>
    <w:qFormat/>
    <w:rPr>
      <w:rFonts w:ascii="Tahoma" w:hAnsi="Tahoma"/>
      <w:sz w:val="24"/>
      <w:szCs w:val="20"/>
    </w:rPr>
  </w:style>
  <w:style w:type="paragraph" w:styleId="1406">
    <w:name w:val="_Style 160"/>
    <w:next w:val="1406"/>
    <w:link w:val="1032"/>
    <w:qFormat/>
    <w:rPr>
      <w:rFonts w:ascii="Times New Roman" w:hAnsi="Times New Roman" w:eastAsia="宋体" w:cs="Times New Roman"/>
      <w:sz w:val="21"/>
      <w:szCs w:val="24"/>
      <w:lang w:val="en-US" w:eastAsia="zh-CN" w:bidi="ar-SA"/>
    </w:rPr>
  </w:style>
  <w:style w:type="paragraph" w:styleId="1407">
    <w:name w:val="项目编号3"/>
    <w:basedOn w:val="1367"/>
    <w:next w:val="1407"/>
    <w:link w:val="1032"/>
    <w:qFormat/>
    <w:pPr>
      <w:numPr>
        <w:ilvl w:val="0"/>
        <w:numId w:val="6"/>
      </w:numPr>
    </w:pPr>
  </w:style>
  <w:style w:type="paragraph" w:styleId="1408">
    <w:name w:val="Char21"/>
    <w:basedOn w:val="1032"/>
    <w:next w:val="1408"/>
    <w:link w:val="1032"/>
    <w:qFormat/>
    <w:rPr>
      <w:rFonts w:ascii="Tahoma" w:hAnsi="Tahoma"/>
      <w:sz w:val="24"/>
      <w:szCs w:val="20"/>
    </w:rPr>
  </w:style>
  <w:style w:type="paragraph" w:styleId="1409">
    <w:name w:val="表格文字"/>
    <w:basedOn w:val="1248"/>
    <w:next w:val="1409"/>
    <w:link w:val="1032"/>
    <w:qFormat/>
    <w:pPr>
      <w:ind w:firstLine="0"/>
      <w:spacing w:before="20" w:after="20" w:line="240" w:lineRule="auto"/>
    </w:pPr>
    <w:rPr>
      <w:rFonts w:ascii="Century Gothic" w:hAnsi="Century Gothic"/>
      <w:sz w:val="20"/>
      <w:szCs w:val="20"/>
    </w:rPr>
  </w:style>
  <w:style w:type="paragraph" w:styleId="1410">
    <w:name w:val="Char Char Char Char Char Char Char Char Char Char1"/>
    <w:basedOn w:val="1032"/>
    <w:next w:val="1410"/>
    <w:link w:val="1032"/>
    <w:qFormat/>
    <w:rPr>
      <w:rFonts w:ascii="宋体" w:hAnsi="宋体" w:cs="Courier New"/>
      <w:sz w:val="32"/>
      <w:szCs w:val="32"/>
    </w:rPr>
  </w:style>
  <w:style w:type="paragraph" w:styleId="1411">
    <w:name w:val="正文文本样式 加粗"/>
    <w:basedOn w:val="1367"/>
    <w:next w:val="1411"/>
    <w:link w:val="1032"/>
    <w:qFormat/>
    <w:rPr>
      <w:b/>
    </w:rPr>
  </w:style>
  <w:style w:type="paragraph" w:styleId="1412">
    <w:name w:val="Char2 Char Char Char Char Char Char"/>
    <w:basedOn w:val="1032"/>
    <w:next w:val="1412"/>
    <w:link w:val="1032"/>
    <w:qFormat/>
    <w:pPr>
      <w:jc w:val="center"/>
      <w:spacing w:line="400" w:lineRule="exact"/>
      <w:widowControl/>
    </w:pPr>
  </w:style>
  <w:style w:type="paragraph" w:styleId="1413">
    <w:name w:val="Char Char4"/>
    <w:basedOn w:val="1032"/>
    <w:next w:val="1413"/>
    <w:link w:val="1032"/>
    <w:qFormat/>
    <w:pPr>
      <w:jc w:val="center"/>
      <w:spacing w:line="400" w:lineRule="exact"/>
      <w:widowControl/>
    </w:pPr>
  </w:style>
  <w:style w:type="paragraph" w:styleId="1414">
    <w:name w:val="Char3 Char Char Char1"/>
    <w:basedOn w:val="1032"/>
    <w:next w:val="1414"/>
    <w:link w:val="1032"/>
    <w:qFormat/>
    <w:rPr>
      <w:rFonts w:ascii="Tahoma" w:hAnsi="Tahoma"/>
      <w:sz w:val="24"/>
      <w:szCs w:val="20"/>
    </w:rPr>
  </w:style>
  <w:style w:type="paragraph" w:styleId="1415">
    <w:name w:val="无间隔"/>
    <w:next w:val="1415"/>
    <w:link w:val="1032"/>
    <w:qFormat/>
    <w:pPr>
      <w:jc w:val="both"/>
      <w:widowControl w:val="off"/>
    </w:pPr>
    <w:rPr>
      <w:rFonts w:ascii="Times New Roman" w:hAnsi="Times New Roman" w:eastAsia="宋体" w:cs="Times New Roman"/>
      <w:sz w:val="21"/>
      <w:szCs w:val="24"/>
      <w:lang w:val="en-US" w:eastAsia="zh-CN" w:bidi="ar-SA"/>
    </w:rPr>
  </w:style>
  <w:style w:type="paragraph" w:styleId="1416">
    <w:name w:val="22222222222222"/>
    <w:basedOn w:val="1032"/>
    <w:next w:val="1416"/>
    <w:link w:val="1032"/>
    <w:qFormat/>
    <w:pPr>
      <w:ind w:firstLine="480"/>
      <w:jc w:val="left"/>
      <w:spacing w:line="360" w:lineRule="auto"/>
      <w:widowControl/>
    </w:pPr>
    <w:rPr>
      <w:color w:val="ff0000"/>
      <w:sz w:val="24"/>
      <w:szCs w:val="20"/>
    </w:rPr>
  </w:style>
  <w:style w:type="character" w:styleId="1417">
    <w:name w:val="中等深浅网格 1 - 强调文字颜色 2 Char"/>
    <w:next w:val="1417"/>
    <w:link w:val="1418"/>
    <w:qFormat/>
    <w:rPr>
      <w:sz w:val="21"/>
      <w:szCs w:val="24"/>
      <w:lang w:val="zh-CN" w:eastAsia="zh-CN" w:bidi="ar-SA"/>
    </w:rPr>
  </w:style>
  <w:style w:type="paragraph" w:styleId="1418">
    <w:name w:val="1"/>
    <w:next w:val="1418"/>
    <w:link w:val="1417"/>
    <w:uiPriority w:val="34"/>
    <w:qFormat/>
    <w:rPr>
      <w:rFonts w:ascii="Times New Roman" w:hAnsi="Times New Roman" w:eastAsia="宋体" w:cs="Times New Roman"/>
      <w:sz w:val="21"/>
      <w:szCs w:val="24"/>
      <w:lang w:val="zh-CN" w:eastAsia="zh-CN" w:bidi="ar-SA"/>
    </w:rPr>
  </w:style>
  <w:style w:type="paragraph" w:styleId="1419">
    <w:name w:val="图文"/>
    <w:basedOn w:val="1032"/>
    <w:next w:val="1419"/>
    <w:link w:val="1032"/>
    <w:qFormat/>
    <w:pPr>
      <w:spacing w:after="50" w:line="360" w:lineRule="auto"/>
    </w:pPr>
    <w:rPr>
      <w:sz w:val="24"/>
    </w:rPr>
  </w:style>
  <w:style w:type="paragraph" w:styleId="1420">
    <w:name w:val="xl23"/>
    <w:basedOn w:val="1032"/>
    <w:next w:val="1420"/>
    <w:link w:val="1032"/>
    <w:qFormat/>
    <w:pPr>
      <w:spacing w:before="100" w:beforeAutospacing="1" w:after="100" w:afterAutospacing="1" w:line="360" w:lineRule="auto"/>
      <w:widowControl/>
    </w:pPr>
    <w:rPr>
      <w:sz w:val="24"/>
      <w:szCs w:val="20"/>
    </w:rPr>
  </w:style>
  <w:style w:type="paragraph" w:styleId="1421">
    <w:name w:val="正文表格"/>
    <w:basedOn w:val="1032"/>
    <w:next w:val="1421"/>
    <w:link w:val="1422"/>
    <w:qFormat/>
    <w:pPr>
      <w:jc w:val="left"/>
    </w:pPr>
    <w:rPr>
      <w:rFonts w:ascii="宋体" w:hAnsi="宋体"/>
      <w:color w:val="000000"/>
      <w:szCs w:val="21"/>
    </w:rPr>
  </w:style>
  <w:style w:type="character" w:styleId="1422">
    <w:name w:val="正文表格 Char"/>
    <w:next w:val="1422"/>
    <w:link w:val="1421"/>
    <w:qFormat/>
    <w:rPr>
      <w:rFonts w:ascii="宋体" w:hAnsi="宋体"/>
      <w:color w:val="000000"/>
      <w:sz w:val="21"/>
      <w:szCs w:val="21"/>
    </w:rPr>
  </w:style>
  <w:style w:type="paragraph" w:styleId="1423">
    <w:name w:val="正文重点"/>
    <w:basedOn w:val="1032"/>
    <w:next w:val="1423"/>
    <w:link w:val="1424"/>
    <w:qFormat/>
    <w:pPr>
      <w:ind w:firstLine="482"/>
      <w:jc w:val="left"/>
      <w:spacing w:line="360" w:lineRule="auto"/>
    </w:pPr>
    <w:rPr>
      <w:b/>
      <w:sz w:val="24"/>
      <w:szCs w:val="20"/>
    </w:rPr>
  </w:style>
  <w:style w:type="character" w:styleId="1424">
    <w:name w:val="正文重点 Char"/>
    <w:next w:val="1424"/>
    <w:link w:val="1423"/>
    <w:qFormat/>
    <w:rPr>
      <w:b/>
      <w:sz w:val="24"/>
    </w:rPr>
  </w:style>
  <w:style w:type="paragraph" w:styleId="1425">
    <w:name w:val="标题1-附件"/>
    <w:basedOn w:val="1216"/>
    <w:next w:val="1425"/>
    <w:link w:val="1032"/>
    <w:qFormat/>
    <w:pPr>
      <w:jc w:val="left"/>
    </w:pPr>
    <w:rPr>
      <w:sz w:val="24"/>
      <w:szCs w:val="24"/>
    </w:rPr>
  </w:style>
  <w:style w:type="paragraph" w:styleId="1426">
    <w:name w:val="正文小标题"/>
    <w:basedOn w:val="1032"/>
    <w:next w:val="1237"/>
    <w:link w:val="1427"/>
    <w:qFormat/>
    <w:pPr>
      <w:ind w:firstLine="482"/>
      <w:jc w:val="left"/>
      <w:spacing w:before="312" w:after="312"/>
    </w:pPr>
    <w:rPr>
      <w:rFonts w:ascii="宋体" w:hAnsi="宋体"/>
      <w:b/>
      <w:i/>
      <w:color w:val="ff0000"/>
      <w:sz w:val="24"/>
      <w:szCs w:val="20"/>
    </w:rPr>
  </w:style>
  <w:style w:type="character" w:styleId="1427">
    <w:name w:val="正文小标题 Char"/>
    <w:next w:val="1427"/>
    <w:link w:val="1426"/>
    <w:qFormat/>
    <w:rPr>
      <w:rFonts w:ascii="宋体" w:hAnsi="宋体"/>
      <w:b/>
      <w:i/>
      <w:color w:val="ff0000"/>
      <w:sz w:val="24"/>
    </w:rPr>
  </w:style>
  <w:style w:type="paragraph" w:styleId="1428">
    <w:name w:val="正文大标题"/>
    <w:basedOn w:val="1426"/>
    <w:next w:val="1237"/>
    <w:link w:val="1429"/>
    <w:qFormat/>
    <w:pPr>
      <w:jc w:val="center"/>
    </w:pPr>
    <w:rPr>
      <w:i w:val="0"/>
      <w:color w:val="000000"/>
      <w:sz w:val="28"/>
      <w:szCs w:val="21"/>
    </w:rPr>
  </w:style>
  <w:style w:type="character" w:styleId="1429">
    <w:name w:val="正文大标题 Char"/>
    <w:next w:val="1429"/>
    <w:link w:val="1428"/>
    <w:qFormat/>
    <w:rPr>
      <w:rFonts w:ascii="宋体" w:hAnsi="宋体"/>
      <w:b/>
      <w:color w:val="000000"/>
      <w:sz w:val="28"/>
      <w:szCs w:val="21"/>
    </w:rPr>
  </w:style>
  <w:style w:type="paragraph" w:styleId="1430">
    <w:name w:val="注释"/>
    <w:basedOn w:val="1032"/>
    <w:next w:val="1430"/>
    <w:link w:val="1431"/>
    <w:qFormat/>
    <w:pPr>
      <w:ind w:left="420" w:hanging="420"/>
      <w:jc w:val="left"/>
    </w:pPr>
    <w:rPr>
      <w:rFonts w:ascii="宋体" w:hAnsi="宋体"/>
      <w:szCs w:val="21"/>
    </w:rPr>
  </w:style>
  <w:style w:type="character" w:styleId="1431">
    <w:name w:val="注释 Char"/>
    <w:next w:val="1431"/>
    <w:link w:val="1430"/>
    <w:qFormat/>
    <w:rPr>
      <w:rFonts w:ascii="宋体" w:hAnsi="宋体"/>
      <w:sz w:val="21"/>
      <w:szCs w:val="21"/>
    </w:rPr>
  </w:style>
  <w:style w:type="paragraph" w:styleId="1432">
    <w:name w:val="正文须知-1级"/>
    <w:basedOn w:val="1032"/>
    <w:next w:val="1032"/>
    <w:link w:val="1032"/>
    <w:qFormat/>
    <w:pPr>
      <w:numPr>
        <w:ilvl w:val="0"/>
        <w:numId w:val="7"/>
      </w:numPr>
      <w:spacing w:line="300" w:lineRule="auto"/>
    </w:pPr>
    <w:rPr>
      <w:rFonts w:ascii="宋体" w:hAnsi="Calibri"/>
      <w:sz w:val="24"/>
      <w:szCs w:val="21"/>
    </w:rPr>
  </w:style>
  <w:style w:type="paragraph" w:styleId="1433">
    <w:name w:val="正文须知-2级"/>
    <w:basedOn w:val="1032"/>
    <w:next w:val="1433"/>
    <w:link w:val="1032"/>
    <w:qFormat/>
    <w:pPr>
      <w:numPr>
        <w:ilvl w:val="1"/>
        <w:numId w:val="7"/>
      </w:numPr>
      <w:spacing w:line="300" w:lineRule="auto"/>
    </w:pPr>
    <w:rPr>
      <w:rFonts w:ascii="宋体" w:hAnsi="Calibri"/>
      <w:sz w:val="24"/>
      <w:szCs w:val="21"/>
    </w:rPr>
  </w:style>
  <w:style w:type="paragraph" w:styleId="1434">
    <w:name w:val="正文须知-3级"/>
    <w:basedOn w:val="1032"/>
    <w:next w:val="1434"/>
    <w:link w:val="1032"/>
    <w:qFormat/>
    <w:pPr>
      <w:numPr>
        <w:ilvl w:val="2"/>
        <w:numId w:val="7"/>
      </w:numPr>
      <w:ind w:hanging="355"/>
      <w:spacing w:line="300" w:lineRule="auto"/>
    </w:pPr>
    <w:rPr>
      <w:rFonts w:ascii="宋体" w:hAnsi="Calibri"/>
      <w:sz w:val="24"/>
      <w:szCs w:val="21"/>
    </w:rPr>
  </w:style>
  <w:style w:type="character" w:styleId="1435">
    <w:name w:val="纯文本 字符"/>
    <w:next w:val="1435"/>
    <w:link w:val="1032"/>
    <w:uiPriority w:val="99"/>
    <w:qFormat/>
    <w:rPr>
      <w:rFonts w:ascii="宋体" w:hAnsi="Courier New" w:eastAsia="宋体" w:cs="Times New Roman"/>
      <w:sz w:val="21"/>
      <w:szCs w:val="21"/>
      <w:lang w:val="en-US" w:eastAsia="zh-CN" w:bidi="ar-SA"/>
    </w:rPr>
  </w:style>
  <w:style w:type="paragraph" w:styleId="1436">
    <w:name w:val="表格1"/>
    <w:basedOn w:val="1032"/>
    <w:next w:val="1436"/>
    <w:link w:val="1032"/>
    <w:qFormat/>
    <w:pPr>
      <w:ind w:firstLine="480"/>
      <w:jc w:val="center"/>
    </w:pPr>
    <w:rPr>
      <w:sz w:val="24"/>
      <w:szCs w:val="20"/>
    </w:rPr>
  </w:style>
  <w:style w:type="character" w:styleId="1437">
    <w:name w:val="纯文本 字符1"/>
    <w:next w:val="1437"/>
    <w:link w:val="1032"/>
    <w:qFormat/>
    <w:rPr>
      <w:rFonts w:ascii="宋体" w:hAnsi="Courier New"/>
    </w:rPr>
  </w:style>
  <w:style w:type="character" w:styleId="1438">
    <w:name w:val="bjh-p"/>
    <w:next w:val="1438"/>
    <w:link w:val="1032"/>
    <w:qFormat/>
  </w:style>
  <w:style w:type="paragraph" w:styleId="1439">
    <w:name w:val="无标题条"/>
    <w:next w:val="1032"/>
    <w:link w:val="1032"/>
    <w:qFormat/>
    <w:pPr>
      <w:jc w:val="both"/>
    </w:pPr>
    <w:rPr>
      <w:rFonts w:ascii="Times New Roman" w:hAnsi="Times New Roman" w:eastAsia="宋体" w:cs="Times New Roman"/>
      <w:sz w:val="21"/>
      <w:lang w:val="en-US" w:eastAsia="zh-CN" w:bidi="ar-SA"/>
    </w:rPr>
  </w:style>
  <w:style w:type="character" w:styleId="1440">
    <w:name w:val="正文格式 Char"/>
    <w:next w:val="1440"/>
    <w:link w:val="1441"/>
    <w:qFormat/>
    <w:rPr>
      <w:rFonts w:ascii="宋体" w:hAnsi="宋体"/>
      <w:sz w:val="24"/>
      <w:szCs w:val="24"/>
      <w:lang w:val="en-GB"/>
    </w:rPr>
  </w:style>
  <w:style w:type="paragraph" w:styleId="1441">
    <w:name w:val="正文格式"/>
    <w:basedOn w:val="1032"/>
    <w:next w:val="1441"/>
    <w:link w:val="1440"/>
    <w:qFormat/>
    <w:pPr>
      <w:ind w:firstLine="480"/>
      <w:spacing w:line="360" w:lineRule="auto"/>
    </w:pPr>
    <w:rPr>
      <w:rFonts w:ascii="宋体" w:hAnsi="宋体"/>
      <w:sz w:val="24"/>
      <w:lang w:val="en-GB"/>
    </w:rPr>
  </w:style>
  <w:style w:type="character" w:styleId="1442">
    <w:name w:val="标题 3 Char"/>
    <w:next w:val="1442"/>
    <w:link w:val="1032"/>
    <w:qFormat/>
    <w:rPr>
      <w:rFonts w:ascii="宋体" w:eastAsia="宋体"/>
      <w:b/>
      <w:sz w:val="24"/>
      <w:u w:val="single"/>
      <w:lang w:val="en-US" w:eastAsia="zh-CN" w:bidi="ar-SA"/>
    </w:rPr>
  </w:style>
  <w:style w:type="character" w:styleId="1443">
    <w:name w:val="正文缩进 Char"/>
    <w:next w:val="1443"/>
    <w:link w:val="1032"/>
    <w:qFormat/>
    <w:rPr>
      <w:rFonts w:ascii="宋体" w:eastAsia="宋体"/>
      <w:sz w:val="24"/>
      <w:szCs w:val="24"/>
      <w:lang w:val="en-US" w:eastAsia="zh-CN" w:bidi="ar-SA"/>
    </w:rPr>
  </w:style>
  <w:style w:type="character" w:styleId="1444">
    <w:name w:val="Char Char111"/>
    <w:next w:val="1444"/>
    <w:link w:val="1032"/>
    <w:qFormat/>
    <w:rPr>
      <w:rFonts w:ascii="宋体" w:eastAsia="宋体"/>
      <w:b/>
      <w:sz w:val="24"/>
      <w:u w:val="single"/>
      <w:lang w:val="en-US" w:eastAsia="zh-CN" w:bidi="ar-SA"/>
    </w:rPr>
  </w:style>
  <w:style w:type="character" w:styleId="1445">
    <w:name w:val="正文文本缩进 Char"/>
    <w:next w:val="1445"/>
    <w:link w:val="1032"/>
    <w:qFormat/>
    <w:rPr>
      <w:rFonts w:eastAsia="宋体"/>
      <w:sz w:val="24"/>
      <w:szCs w:val="24"/>
      <w:lang w:val="en-US" w:eastAsia="zh-CN" w:bidi="ar-SA"/>
    </w:rPr>
  </w:style>
  <w:style w:type="character" w:styleId="1446">
    <w:name w:val="列出段落 Char"/>
    <w:next w:val="1446"/>
    <w:link w:val="1032"/>
    <w:qFormat/>
    <w:rPr>
      <w:rFonts w:ascii="Calibri" w:hAnsi="Calibri" w:eastAsia="宋体"/>
      <w:sz w:val="21"/>
      <w:szCs w:val="22"/>
      <w:lang w:val="en-US" w:eastAsia="zh-CN" w:bidi="ar-SA"/>
    </w:rPr>
  </w:style>
  <w:style w:type="character" w:styleId="1447">
    <w:name w:val="页眉 Char"/>
    <w:next w:val="1447"/>
    <w:link w:val="1032"/>
    <w:qFormat/>
    <w:rPr>
      <w:rFonts w:eastAsia="宋体"/>
      <w:sz w:val="18"/>
      <w:szCs w:val="18"/>
      <w:lang w:val="en-US" w:eastAsia="zh-CN" w:bidi="ar-SA"/>
    </w:rPr>
  </w:style>
  <w:style w:type="character" w:styleId="1448">
    <w:name w:val="标题 2 Char"/>
    <w:next w:val="1448"/>
    <w:link w:val="1032"/>
    <w:qFormat/>
    <w:rPr>
      <w:rFonts w:ascii="Arial" w:hAnsi="Arial" w:eastAsia="黑体"/>
      <w:b/>
      <w:sz w:val="30"/>
      <w:lang w:val="en-US" w:eastAsia="zh-CN" w:bidi="ar-SA"/>
    </w:rPr>
  </w:style>
  <w:style w:type="paragraph" w:styleId="1449">
    <w:name w:val="字元 字元2"/>
    <w:basedOn w:val="1032"/>
    <w:next w:val="1449"/>
    <w:link w:val="1032"/>
    <w:qFormat/>
    <w:rPr>
      <w:rFonts w:ascii="Tahoma" w:hAnsi="Tahoma"/>
      <w:sz w:val="24"/>
      <w:szCs w:val="20"/>
    </w:rPr>
  </w:style>
  <w:style w:type="paragraph" w:styleId="1450">
    <w:name w:val="Char3 Char Char Char2"/>
    <w:basedOn w:val="1032"/>
    <w:next w:val="1450"/>
    <w:link w:val="1032"/>
    <w:qFormat/>
    <w:rPr>
      <w:rFonts w:ascii="Tahoma" w:hAnsi="Tahoma"/>
      <w:sz w:val="24"/>
      <w:szCs w:val="20"/>
    </w:rPr>
  </w:style>
  <w:style w:type="paragraph" w:styleId="1451">
    <w:name w:val="正文文本缩进2"/>
    <w:basedOn w:val="1032"/>
    <w:next w:val="1451"/>
    <w:link w:val="1032"/>
    <w:qFormat/>
    <w:pPr>
      <w:ind w:firstLine="480"/>
      <w:spacing w:line="480" w:lineRule="exact"/>
    </w:pPr>
    <w:rPr>
      <w:rFonts w:ascii="宋体" w:hAnsi="宋体"/>
      <w:sz w:val="24"/>
      <w:lang w:val="zh-CN" w:eastAsia="zh-CN"/>
    </w:rPr>
  </w:style>
  <w:style w:type="paragraph" w:styleId="1452">
    <w:name w:val="Char3"/>
    <w:basedOn w:val="1032"/>
    <w:next w:val="1452"/>
    <w:link w:val="1032"/>
    <w:qFormat/>
    <w:pPr>
      <w:tabs>
        <w:tab w:val="left" w:pos="360" w:leader="none"/>
      </w:tabs>
    </w:pPr>
    <w:rPr>
      <w:sz w:val="24"/>
    </w:rPr>
  </w:style>
  <w:style w:type="paragraph" w:styleId="1453">
    <w:name w:val="Char Char Char Char Char Char Char Char Char Char Char Char Char Char Char Char1"/>
    <w:basedOn w:val="1032"/>
    <w:next w:val="1453"/>
    <w:link w:val="1032"/>
    <w:qFormat/>
    <w:pPr>
      <w:jc w:val="center"/>
      <w:spacing w:after="160" w:line="240" w:lineRule="exact"/>
      <w:widowControl/>
    </w:pPr>
    <w:rPr>
      <w:rFonts w:ascii="宋体" w:hAnsi="宋体"/>
      <w:b/>
      <w:sz w:val="30"/>
      <w:szCs w:val="30"/>
      <w:lang w:eastAsia="en-US"/>
    </w:rPr>
  </w:style>
  <w:style w:type="paragraph" w:styleId="1454">
    <w:name w:val="Char Char1 Char Char Char Char Char Char1"/>
    <w:basedOn w:val="1032"/>
    <w:next w:val="1454"/>
    <w:link w:val="1032"/>
    <w:qFormat/>
    <w:pPr>
      <w:jc w:val="left"/>
      <w:spacing w:after="160" w:line="240" w:lineRule="exact"/>
      <w:widowControl/>
    </w:pPr>
    <w:rPr>
      <w:rFonts w:ascii="Verdana" w:hAnsi="Verdana" w:eastAsia="仿宋_GB2312"/>
      <w:sz w:val="24"/>
      <w:szCs w:val="20"/>
      <w:lang w:eastAsia="en-US"/>
    </w:rPr>
  </w:style>
  <w:style w:type="paragraph" w:styleId="1455">
    <w:name w:val="列出段落2"/>
    <w:basedOn w:val="1032"/>
    <w:next w:val="1455"/>
    <w:link w:val="1032"/>
    <w:qFormat/>
    <w:pPr>
      <w:ind w:firstLine="420"/>
    </w:pPr>
    <w:rPr>
      <w:rFonts w:ascii="Calibri" w:hAnsi="Calibri"/>
      <w:szCs w:val="22"/>
    </w:rPr>
  </w:style>
  <w:style w:type="paragraph" w:styleId="1456">
    <w:name w:val="Char Char Char1 Char2"/>
    <w:basedOn w:val="1032"/>
    <w:next w:val="1456"/>
    <w:link w:val="1032"/>
    <w:qFormat/>
    <w:rPr>
      <w:rFonts w:ascii="Tahoma" w:hAnsi="Tahoma"/>
      <w:sz w:val="24"/>
      <w:szCs w:val="20"/>
    </w:rPr>
  </w:style>
  <w:style w:type="paragraph" w:styleId="1457">
    <w:name w:val="Char Char Char2"/>
    <w:basedOn w:val="1032"/>
    <w:next w:val="1457"/>
    <w:link w:val="1032"/>
    <w:qFormat/>
    <w:rPr>
      <w:rFonts w:ascii="Tahoma" w:hAnsi="Tahoma"/>
      <w:sz w:val="24"/>
      <w:szCs w:val="20"/>
    </w:rPr>
  </w:style>
  <w:style w:type="paragraph" w:styleId="1458">
    <w:name w:val="Char Char Char Char Char Char Char2"/>
    <w:basedOn w:val="1032"/>
    <w:next w:val="1458"/>
    <w:link w:val="1032"/>
    <w:qFormat/>
    <w:pPr>
      <w:ind w:firstLine="200"/>
      <w:spacing w:line="360" w:lineRule="auto"/>
    </w:pPr>
    <w:rPr>
      <w:rFonts w:eastAsia="仿宋_GB2312"/>
      <w:sz w:val="24"/>
    </w:rPr>
  </w:style>
  <w:style w:type="paragraph" w:styleId="1459">
    <w:name w:val="正文缩进2"/>
    <w:basedOn w:val="1032"/>
    <w:next w:val="1459"/>
    <w:link w:val="1032"/>
    <w:qFormat/>
    <w:pPr>
      <w:ind w:firstLine="567"/>
      <w:spacing w:line="480" w:lineRule="exact"/>
      <w:widowControl/>
    </w:pPr>
    <w:rPr>
      <w:rFonts w:ascii="宋体"/>
      <w:color w:val="000000"/>
      <w:sz w:val="28"/>
      <w:szCs w:val="20"/>
      <w:lang w:val="zh-CN" w:eastAsia="zh-CN"/>
    </w:rPr>
  </w:style>
  <w:style w:type="paragraph" w:styleId="1460">
    <w:name w:val="Revision"/>
    <w:next w:val="1460"/>
    <w:link w:val="1032"/>
    <w:qFormat/>
    <w:rPr>
      <w:rFonts w:ascii="Times New Roman" w:hAnsi="Times New Roman" w:eastAsia="宋体" w:cs="Times New Roman"/>
      <w:sz w:val="21"/>
      <w:szCs w:val="24"/>
      <w:lang w:val="en-US" w:eastAsia="zh-CN" w:bidi="ar-SA"/>
    </w:rPr>
  </w:style>
  <w:style w:type="paragraph" w:styleId="1461">
    <w:name w:val="Char22"/>
    <w:basedOn w:val="1032"/>
    <w:next w:val="1461"/>
    <w:link w:val="1032"/>
    <w:qFormat/>
    <w:rPr>
      <w:rFonts w:ascii="Tahoma" w:hAnsi="Tahoma"/>
      <w:sz w:val="24"/>
      <w:szCs w:val="20"/>
    </w:rPr>
  </w:style>
  <w:style w:type="paragraph" w:styleId="1462">
    <w:name w:val="Char Char Char Char Char Char Char Char Char Char2"/>
    <w:basedOn w:val="1032"/>
    <w:next w:val="1462"/>
    <w:link w:val="1032"/>
    <w:qFormat/>
    <w:rPr>
      <w:rFonts w:ascii="宋体" w:hAnsi="宋体" w:cs="Courier New"/>
      <w:sz w:val="32"/>
      <w:szCs w:val="32"/>
    </w:rPr>
  </w:style>
  <w:style w:type="paragraph" w:styleId="1463">
    <w:name w:val="Char2 Char Char Char Char Char Char1"/>
    <w:basedOn w:val="1032"/>
    <w:next w:val="1463"/>
    <w:link w:val="1032"/>
    <w:qFormat/>
    <w:pPr>
      <w:jc w:val="center"/>
      <w:spacing w:line="400" w:lineRule="exact"/>
      <w:widowControl/>
    </w:pPr>
  </w:style>
  <w:style w:type="character" w:styleId="1464">
    <w:name w:val="页脚 Char"/>
    <w:next w:val="1464"/>
    <w:link w:val="1032"/>
    <w:qFormat/>
    <w:rPr>
      <w:rFonts w:ascii="宋体" w:eastAsia="宋体"/>
      <w:sz w:val="18"/>
      <w:lang w:val="en-US" w:eastAsia="zh-CN" w:bidi="ar-SA"/>
    </w:rPr>
  </w:style>
  <w:style w:type="paragraph" w:styleId="1465">
    <w:name w:val="Char Char41"/>
    <w:basedOn w:val="1032"/>
    <w:next w:val="1465"/>
    <w:link w:val="1032"/>
    <w:qFormat/>
    <w:pPr>
      <w:jc w:val="center"/>
      <w:spacing w:line="400" w:lineRule="exact"/>
      <w:widowControl/>
    </w:pPr>
  </w:style>
  <w:style w:type="character" w:styleId="1466">
    <w:name w:val="批注文字 Char"/>
    <w:next w:val="1466"/>
    <w:link w:val="1032"/>
    <w:uiPriority w:val="99"/>
    <w:qFormat/>
    <w:rPr>
      <w:sz w:val="21"/>
      <w:szCs w:val="24"/>
    </w:rPr>
  </w:style>
  <w:style w:type="character" w:styleId="1467">
    <w:name w:val="标题 Char"/>
    <w:next w:val="1467"/>
    <w:link w:val="1032"/>
    <w:qFormat/>
    <w:rPr>
      <w:b/>
      <w:sz w:val="32"/>
    </w:rPr>
  </w:style>
  <w:style w:type="paragraph" w:styleId="1468">
    <w:name w:val="图例"/>
    <w:basedOn w:val="1032"/>
    <w:next w:val="1468"/>
    <w:link w:val="1032"/>
    <w:qFormat/>
    <w:pPr>
      <w:jc w:val="center"/>
      <w:spacing w:before="120" w:after="120" w:line="360" w:lineRule="auto"/>
    </w:pPr>
    <w:rPr>
      <w:rFonts w:eastAsia="仿宋_GB2312"/>
      <w:b/>
      <w:sz w:val="24"/>
      <w:szCs w:val="20"/>
    </w:rPr>
  </w:style>
  <w:style w:type="table" w:styleId="1469">
    <w:name w:val="Table Normal"/>
    <w:next w:val="1469"/>
    <w:link w:val="1032"/>
    <w:uiPriority w:val="2"/>
    <w:unhideWhenUsed/>
    <w:qFormat/>
    <w:pPr>
      <w:widowControl w:val="off"/>
    </w:pPr>
    <w:rPr>
      <w:rFonts w:ascii="Calibri" w:hAnsi="Calibri"/>
      <w:sz w:val="22"/>
      <w:szCs w:val="22"/>
      <w:lang w:val="en-US" w:eastAsia="en-US" w:bidi="ar-SA"/>
    </w:rPr>
    <w:tblPr/>
  </w:style>
  <w:style w:type="paragraph" w:styleId="1470">
    <w:name w:val="Table Paragraph"/>
    <w:basedOn w:val="1032"/>
    <w:next w:val="1470"/>
    <w:link w:val="1032"/>
    <w:uiPriority w:val="1"/>
    <w:qFormat/>
    <w:pPr>
      <w:jc w:val="left"/>
    </w:pPr>
    <w:rPr>
      <w:rFonts w:ascii="宋体" w:hAnsi="宋体" w:cs="宋体"/>
      <w:sz w:val="22"/>
      <w:szCs w:val="22"/>
      <w:lang w:eastAsia="en-US"/>
    </w:rPr>
  </w:style>
  <w:style w:type="paragraph" w:styleId="1471">
    <w:name w:val="成文日期"/>
    <w:basedOn w:val="1032"/>
    <w:next w:val="1471"/>
    <w:link w:val="1472"/>
    <w:qFormat/>
    <w:pPr>
      <w:ind w:right="400" w:firstLine="200"/>
      <w:jc w:val="right"/>
      <w:spacing w:line="570" w:lineRule="exact"/>
    </w:pPr>
    <w:rPr>
      <w:rFonts w:ascii="仿宋_GB2312" w:eastAsia="仿宋_GB2312"/>
      <w:sz w:val="32"/>
      <w:szCs w:val="20"/>
    </w:rPr>
  </w:style>
  <w:style w:type="character" w:styleId="1472">
    <w:name w:val="成文日期 Char"/>
    <w:next w:val="1472"/>
    <w:link w:val="1471"/>
    <w:qFormat/>
    <w:rPr>
      <w:rFonts w:ascii="仿宋_GB2312" w:eastAsia="仿宋_GB2312"/>
      <w:sz w:val="32"/>
    </w:rPr>
  </w:style>
  <w:style w:type="paragraph" w:styleId="1473">
    <w:name w:val="修订"/>
    <w:next w:val="1473"/>
    <w:link w:val="1032"/>
    <w:uiPriority w:val="99"/>
    <w:unhideWhenUsed/>
    <w:qFormat/>
    <w:rPr>
      <w:rFonts w:ascii="Times New Roman" w:hAnsi="Times New Roman" w:eastAsia="宋体" w:cs="Times New Roman"/>
      <w:sz w:val="21"/>
      <w:szCs w:val="24"/>
      <w:lang w:val="en-US" w:eastAsia="zh-CN" w:bidi="ar-SA"/>
    </w:rPr>
  </w:style>
  <w:style w:type="character" w:styleId="1474">
    <w:name w:val="页脚 字符"/>
    <w:next w:val="1474"/>
    <w:link w:val="1032"/>
    <w:uiPriority w:val="99"/>
    <w:qFormat/>
  </w:style>
  <w:style w:type="character" w:styleId="1475">
    <w:name w:val="标题 2 字符1"/>
    <w:next w:val="1475"/>
    <w:link w:val="1032"/>
    <w:semiHidden/>
    <w:qFormat/>
    <w:rPr>
      <w:rFonts w:ascii="Arial" w:hAnsi="Arial" w:eastAsia="黑体" w:cs="Times New Roman"/>
      <w:b/>
      <w:sz w:val="30"/>
      <w:szCs w:val="20"/>
    </w:rPr>
  </w:style>
  <w:style w:type="paragraph" w:styleId="1476">
    <w:name w:val="列出段落11"/>
    <w:basedOn w:val="1032"/>
    <w:next w:val="1476"/>
    <w:link w:val="1032"/>
    <w:uiPriority w:val="34"/>
    <w:qFormat/>
    <w:pPr>
      <w:ind w:firstLine="420"/>
    </w:pPr>
    <w:rPr>
      <w:szCs w:val="20"/>
    </w:rPr>
  </w:style>
  <w:style w:type="paragraph" w:styleId="1477">
    <w:name w:val="列表段落1"/>
    <w:basedOn w:val="1032"/>
    <w:next w:val="1477"/>
    <w:link w:val="1032"/>
    <w:uiPriority w:val="34"/>
    <w:qFormat/>
    <w:pPr>
      <w:ind w:firstLine="420"/>
    </w:pPr>
    <w:rPr>
      <w:rFonts w:eastAsia="等线"/>
      <w:szCs w:val="22"/>
    </w:rPr>
  </w:style>
  <w:style w:type="character" w:styleId="1478">
    <w:name w:val="正文文本 Char"/>
    <w:next w:val="1478"/>
    <w:link w:val="1032"/>
    <w:qFormat/>
    <w:rPr>
      <w:rFonts w:ascii="宋体" w:hAnsi="宋体"/>
      <w:sz w:val="24"/>
      <w:szCs w:val="24"/>
    </w:rPr>
  </w:style>
  <w:style w:type="character" w:styleId="1479">
    <w:name w:val="页脚 Char1"/>
    <w:next w:val="1479"/>
    <w:link w:val="1032"/>
    <w:uiPriority w:val="99"/>
    <w:qFormat/>
    <w:rPr>
      <w:rFonts w:ascii="宋体" w:eastAsia="宋体"/>
      <w:sz w:val="18"/>
      <w:lang w:val="en-US" w:eastAsia="zh-CN" w:bidi="ar-SA"/>
    </w:rPr>
  </w:style>
  <w:style w:type="character" w:styleId="1480">
    <w:name w:val="页眉 Char1"/>
    <w:next w:val="1480"/>
    <w:link w:val="1032"/>
    <w:qFormat/>
    <w:rPr>
      <w:rFonts w:eastAsia="宋体"/>
      <w:sz w:val="18"/>
      <w:szCs w:val="18"/>
      <w:lang w:val="en-US" w:eastAsia="zh-CN" w:bidi="ar-SA"/>
    </w:rPr>
  </w:style>
  <w:style w:type="character" w:styleId="1481">
    <w:name w:val="NormalCharacter1"/>
    <w:next w:val="1481"/>
    <w:link w:val="1032"/>
    <w:semiHidden/>
    <w:qFormat/>
  </w:style>
  <w:style w:type="paragraph" w:styleId="1482">
    <w:name w:val="段"/>
    <w:next w:val="1032"/>
    <w:link w:val="1032"/>
    <w:qFormat/>
    <w:pPr>
      <w:ind w:firstLine="200"/>
      <w:jc w:val="both"/>
    </w:pPr>
    <w:rPr>
      <w:rFonts w:ascii="宋体" w:hAnsi="Calibri" w:eastAsia="宋体" w:cs="Times New Roman"/>
      <w:sz w:val="21"/>
      <w:lang w:val="en-US" w:eastAsia="zh-CN" w:bidi="ar-SA"/>
    </w:rPr>
  </w:style>
  <w:style w:type="character" w:styleId="1483">
    <w:name w:val="正文缩进 字符1"/>
    <w:next w:val="1483"/>
    <w:link w:val="1032"/>
    <w:qFormat/>
    <w:rPr>
      <w:rFonts w:ascii="宋体"/>
      <w:sz w:val="24"/>
      <w:szCs w:val="24"/>
    </w:rPr>
  </w:style>
  <w:style w:type="paragraph" w:styleId="1484">
    <w:name w:val="样式 正文缩进文2ALT+Z表正文正文非缩进特点段1标题4特点 Char Char特点 Char Char C..."/>
    <w:basedOn w:val="1237"/>
    <w:next w:val="1484"/>
    <w:link w:val="1032"/>
    <w:qFormat/>
    <w:pPr>
      <w:ind w:firstLine="480"/>
      <w:jc w:val="both"/>
      <w:spacing w:line="360" w:lineRule="auto"/>
    </w:pPr>
    <w:rPr>
      <w:rFonts w:ascii="Times New Roman" w:hAnsi="Calibri" w:eastAsia="仿宋_GB2312" w:cs="宋体"/>
      <w:szCs w:val="20"/>
    </w:rPr>
  </w:style>
  <w:style w:type="table" w:styleId="1485">
    <w:name w:val="网格型1"/>
    <w:basedOn w:val="1235"/>
    <w:next w:val="1485"/>
    <w:link w:val="1032"/>
    <w:qFormat/>
    <w:pPr>
      <w:jc w:val="both"/>
      <w:widowControl w:val="off"/>
    </w:pPr>
    <w:tblPr/>
  </w:style>
  <w:style w:type="table" w:styleId="1486">
    <w:name w:val="网格型2"/>
    <w:basedOn w:val="1235"/>
    <w:next w:val="1486"/>
    <w:link w:val="1032"/>
    <w:qFormat/>
    <w:pPr>
      <w:jc w:val="both"/>
      <w:widowControl w:val="off"/>
    </w:pPr>
    <w:tblPr/>
  </w:style>
  <w:style w:type="character" w:styleId="1487">
    <w:name w:val="标题 字符1"/>
    <w:next w:val="1487"/>
    <w:link w:val="1032"/>
    <w:qFormat/>
    <w:rPr>
      <w:rFonts w:ascii="Cambria" w:hAnsi="Cambria"/>
      <w:b/>
      <w:bCs/>
      <w:sz w:val="32"/>
      <w:szCs w:val="32"/>
    </w:rPr>
  </w:style>
  <w:style w:type="paragraph" w:styleId="1488">
    <w:name w:val="纯文本2"/>
    <w:next w:val="1268"/>
    <w:link w:val="1032"/>
    <w:qFormat/>
    <w:pPr>
      <w:jc w:val="both"/>
      <w:spacing w:line="360" w:lineRule="auto"/>
      <w:widowControl w:val="off"/>
    </w:pPr>
    <w:rPr>
      <w:rFonts w:ascii="宋体" w:hAnsi="宋体" w:eastAsia="仿宋" w:cs="Times New Roman"/>
      <w:sz w:val="26"/>
      <w:szCs w:val="21"/>
      <w:lang w:val="en-US" w:eastAsia="zh-CN" w:bidi="ar-SA"/>
    </w:rPr>
  </w:style>
  <w:style w:type="character" w:styleId="1489">
    <w:name w:val="正文文本_"/>
    <w:basedOn w:val="1234"/>
    <w:next w:val="1489"/>
    <w:link w:val="1490"/>
    <w:uiPriority w:val="99"/>
    <w:unhideWhenUsed/>
    <w:qFormat/>
    <w:rPr>
      <w:rFonts w:ascii="MingLiU" w:hAnsi="MingLiU" w:eastAsia="MingLiU"/>
      <w:spacing w:val="10"/>
      <w:sz w:val="23"/>
      <w:shd w:val="clear" w:color="auto" w:fill="ffffff"/>
    </w:rPr>
  </w:style>
  <w:style w:type="paragraph" w:styleId="1490">
    <w:name w:val="正文文本1"/>
    <w:basedOn w:val="1032"/>
    <w:next w:val="1490"/>
    <w:link w:val="1489"/>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491">
    <w:name w:val="font21"/>
    <w:next w:val="1491"/>
    <w:link w:val="1032"/>
    <w:qFormat/>
    <w:rPr>
      <w:rFonts w:hint="eastAsia" w:ascii="宋体" w:hAnsi="宋体" w:eastAsia="宋体" w:cs="宋体"/>
      <w:color w:val="000000"/>
      <w:sz w:val="21"/>
      <w:szCs w:val="21"/>
      <w:u w:val="none"/>
    </w:rPr>
  </w:style>
  <w:style w:type="character" w:styleId="1492">
    <w:name w:val="font01"/>
    <w:next w:val="1492"/>
    <w:link w:val="1032"/>
    <w:qFormat/>
    <w:rPr>
      <w:rFonts w:hint="eastAsia" w:ascii="宋体" w:hAnsi="宋体" w:eastAsia="宋体" w:cs="宋体"/>
      <w:b/>
      <w:color w:val="000000"/>
      <w:sz w:val="22"/>
      <w:szCs w:val="22"/>
      <w:u w:val="none"/>
    </w:rPr>
  </w:style>
  <w:style w:type="paragraph" w:styleId="1493">
    <w:name w:val="p0"/>
    <w:basedOn w:val="1032"/>
    <w:next w:val="1493"/>
    <w:link w:val="1032"/>
    <w:qFormat/>
    <w:pPr>
      <w:widowControl/>
    </w:pPr>
    <w:rPr>
      <w:rFonts w:ascii="Calibri" w:hAnsi="Calibri"/>
      <w:szCs w:val="21"/>
    </w:rPr>
  </w:style>
  <w:style w:type="paragraph" w:styleId="1494">
    <w:name w:val="be358f00-9758-446e-aec5-cde8345aeef3"/>
    <w:basedOn w:val="1246"/>
    <w:next w:val="1494"/>
    <w:link w:val="1495"/>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495">
    <w:name w:val="be358f00-9758-446e-aec5-cde8345aeef3 字符"/>
    <w:next w:val="1495"/>
    <w:link w:val="1494"/>
    <w:qFormat/>
    <w:rPr>
      <w:rFonts w:ascii="微软雅黑" w:hAnsi="微软雅黑" w:eastAsia="微软雅黑"/>
      <w:color w:val="000000"/>
      <w:sz w:val="22"/>
      <w:szCs w:val="24"/>
    </w:rPr>
  </w:style>
  <w:style w:type="character" w:styleId="1496">
    <w:name w:val="font61"/>
    <w:next w:val="1496"/>
    <w:link w:val="1032"/>
    <w:qFormat/>
    <w:rPr>
      <w:rFonts w:hint="eastAsia" w:ascii="宋体" w:hAnsi="宋体" w:eastAsia="宋体" w:cs="宋体"/>
      <w:color w:val="000000"/>
      <w:sz w:val="21"/>
      <w:szCs w:val="21"/>
      <w:u w:val="none"/>
    </w:rPr>
  </w:style>
  <w:style w:type="character" w:styleId="1497">
    <w:name w:val="font71"/>
    <w:next w:val="1497"/>
    <w:link w:val="1032"/>
    <w:qFormat/>
    <w:rPr>
      <w:rFonts w:hint="eastAsia" w:ascii="宋体" w:hAnsi="宋体" w:eastAsia="宋体" w:cs="宋体"/>
      <w:color w:val="000000"/>
      <w:sz w:val="22"/>
      <w:szCs w:val="22"/>
      <w:u w:val="none"/>
    </w:rPr>
  </w:style>
  <w:style w:type="character" w:styleId="1498">
    <w:name w:val="font31"/>
    <w:next w:val="1498"/>
    <w:link w:val="1032"/>
    <w:qFormat/>
    <w:rPr>
      <w:rFonts w:ascii="Arial Unicode MS" w:hAnsi="Arial Unicode MS" w:eastAsia="Arial Unicode MS" w:cs="Arial Unicode MS"/>
      <w:color w:val="000000"/>
      <w:sz w:val="22"/>
      <w:szCs w:val="22"/>
      <w:u w:val="none"/>
    </w:rPr>
  </w:style>
  <w:style w:type="character" w:styleId="1499">
    <w:name w:val="font41"/>
    <w:next w:val="1499"/>
    <w:link w:val="1032"/>
    <w:qFormat/>
    <w:rPr>
      <w:rFonts w:ascii="宋体" w:hAnsi="宋体" w:eastAsia="宋体" w:cs="宋体"/>
      <w:color w:val="000000"/>
      <w:sz w:val="22"/>
      <w:szCs w:val="22"/>
      <w:u w:val="none"/>
    </w:rPr>
  </w:style>
  <w:style w:type="character" w:styleId="1500">
    <w:name w:val="font11"/>
    <w:next w:val="1500"/>
    <w:link w:val="1032"/>
    <w:qFormat/>
    <w:rPr>
      <w:rFonts w:hint="eastAsia" w:ascii="宋体" w:hAnsi="宋体" w:eastAsia="宋体" w:cs="宋体"/>
      <w:b/>
      <w:bCs/>
      <w:color w:val="000000"/>
      <w:sz w:val="21"/>
      <w:szCs w:val="21"/>
      <w:u w:val="none"/>
    </w:rPr>
  </w:style>
  <w:style w:type="character" w:styleId="1501">
    <w:name w:val="font51"/>
    <w:next w:val="1501"/>
    <w:link w:val="1032"/>
    <w:qFormat/>
    <w:rPr>
      <w:rFonts w:ascii="Times New Roman" w:hAnsi="Times New Roman" w:cs="Times New Roman"/>
      <w:color w:val="000000"/>
      <w:sz w:val="21"/>
      <w:szCs w:val="21"/>
      <w:u w:val="none"/>
    </w:rPr>
  </w:style>
  <w:style w:type="character" w:styleId="1502">
    <w:name w:val="font81"/>
    <w:next w:val="1502"/>
    <w:link w:val="1032"/>
    <w:qFormat/>
    <w:rPr>
      <w:rFonts w:ascii="Times New Roman" w:hAnsi="Times New Roman" w:cs="Times New Roman"/>
      <w:color w:val="000000"/>
      <w:sz w:val="21"/>
      <w:szCs w:val="21"/>
      <w:u w:val="none"/>
      <w:vertAlign w:val="superscript"/>
    </w:rPr>
  </w:style>
  <w:style w:type="paragraph" w:styleId="1503">
    <w:name w:val="正文缩进11"/>
    <w:basedOn w:val="1032"/>
    <w:next w:val="1503"/>
    <w:link w:val="1032"/>
    <w:qFormat/>
    <w:pPr>
      <w:ind w:firstLine="420"/>
      <w:jc w:val="left"/>
    </w:pPr>
    <w:rPr>
      <w:rFonts w:ascii="宋体"/>
      <w:sz w:val="24"/>
    </w:rPr>
  </w:style>
  <w:style w:type="paragraph" w:styleId="1504">
    <w:name w:val="一、"/>
    <w:basedOn w:val="1032"/>
    <w:next w:val="1504"/>
    <w:link w:val="1032"/>
    <w:qFormat/>
    <w:pPr>
      <w:ind w:firstLine="640"/>
    </w:pPr>
    <w:rPr>
      <w:rFonts w:eastAsia="黑体"/>
      <w:szCs w:val="32"/>
    </w:rPr>
  </w:style>
  <w:style w:type="paragraph" w:styleId="1505">
    <w:name w:val="附件标题"/>
    <w:next w:val="1505"/>
    <w:link w:val="1032"/>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506">
    <w:name w:val="第一章"/>
    <w:basedOn w:val="1504"/>
    <w:next w:val="1506"/>
    <w:link w:val="1032"/>
    <w:qFormat/>
    <w:pPr>
      <w:ind w:firstLine="0"/>
      <w:jc w:val="center"/>
    </w:pPr>
  </w:style>
  <w:style w:type="paragraph" w:styleId="1507">
    <w:name w:val="AONormal"/>
    <w:next w:val="1507"/>
    <w:link w:val="1032"/>
    <w:qFormat/>
    <w:pPr>
      <w:ind w:firstLine="440"/>
      <w:spacing w:line="400" w:lineRule="exact"/>
    </w:pPr>
    <w:rPr>
      <w:rFonts w:ascii="华文楷体" w:hAnsi="华文楷体" w:eastAsia="华文楷体" w:cs="华文楷体"/>
      <w:sz w:val="22"/>
      <w:szCs w:val="21"/>
      <w:lang w:val="en-US" w:eastAsia="zh-CN" w:bidi="ar-SA"/>
    </w:rPr>
  </w:style>
  <w:style w:type="paragraph" w:styleId="1508">
    <w:name w:val="正文首行缩进1"/>
    <w:basedOn w:val="1490"/>
    <w:next w:val="1508"/>
    <w:link w:val="1032"/>
    <w:qFormat/>
    <w:pPr>
      <w:ind w:firstLine="200"/>
      <w:spacing w:line="360" w:lineRule="auto"/>
    </w:pPr>
    <w:rPr>
      <w:rFonts w:ascii="仿宋_GB2312" w:eastAsia="仿宋_GB2312"/>
      <w:sz w:val="30"/>
      <w:szCs w:val="30"/>
    </w:rPr>
  </w:style>
  <w:style w:type="character" w:styleId="1509">
    <w:name w:val="font112"/>
    <w:next w:val="1509"/>
    <w:link w:val="1032"/>
    <w:qFormat/>
    <w:rPr>
      <w:rFonts w:ascii="Arial" w:hAnsi="Arial" w:cs="Arial"/>
      <w:color w:val="000000"/>
      <w:sz w:val="22"/>
      <w:szCs w:val="22"/>
      <w:u w:val="none"/>
    </w:rPr>
  </w:style>
  <w:style w:type="paragraph" w:styleId="1510">
    <w:name w:val="正文1"/>
    <w:basedOn w:val="1032"/>
    <w:next w:val="1032"/>
    <w:link w:val="1032"/>
    <w:qFormat/>
    <w:pPr>
      <w:ind w:left="420" w:firstLine="527"/>
      <w:spacing w:before="120" w:line="360" w:lineRule="auto"/>
    </w:pPr>
    <w:rPr>
      <w:rFonts w:ascii="宋体" w:hAnsi="宋体"/>
    </w:rPr>
  </w:style>
  <w:style w:type="character" w:styleId="1511" w:default="1">
    <w:name w:val="Default Paragraph Font"/>
    <w:uiPriority w:val="1"/>
    <w:semiHidden/>
    <w:unhideWhenUsed/>
  </w:style>
  <w:style w:type="numbering" w:styleId="1512" w:default="1">
    <w:name w:val="No List"/>
    <w:uiPriority w:val="99"/>
    <w:semiHidden/>
    <w:unhideWhenUsed/>
  </w:style>
  <w:style w:type="table" w:styleId="15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 Id="rId1" Type="http://schemas.openxmlformats.org/officeDocument/2006/relationships/image" Target="media/image4.png"/></Relationships>
</file>

<file path=word/_rels/header7.xml.rels><?xml version="1.0" encoding="UTF-8" standalone="yes"?><Relationships xmlns="http://schemas.openxmlformats.org/package/2006/relationships"><Relationship Id="rId1" Type="http://schemas.openxmlformats.org/officeDocument/2006/relationships/image" Target="media/image5.png"/></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姜红</cp:lastModifiedBy>
  <cp:revision>10</cp:revision>
  <dcterms:created xsi:type="dcterms:W3CDTF">2026-03-16T02:21:00Z</dcterms:created>
  <dcterms:modified xsi:type="dcterms:W3CDTF">2026-06-01T06:54:22Z</dcterms:modified>
</cp:coreProperties>
</file>